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60" w:lineRule="exact"/>
        <w:ind w:firstLine="420"/>
        <w:jc w:val="center"/>
        <w:rPr>
          <w:rFonts w:ascii="黑体" w:hAnsi="黑体" w:eastAsia="黑体" w:cs="方正小标宋简体"/>
          <w:bCs/>
          <w:color w:val="000000"/>
          <w:sz w:val="44"/>
          <w:szCs w:val="44"/>
          <w:shd w:val="clear" w:color="auto" w:fill="FFFFFF"/>
        </w:rPr>
      </w:pPr>
      <w:r>
        <w:rPr>
          <w:rFonts w:hint="eastAsia" w:ascii="黑体" w:hAnsi="黑体" w:eastAsia="黑体" w:cs="方正小标宋简体"/>
          <w:bCs/>
          <w:color w:val="000000"/>
          <w:sz w:val="44"/>
          <w:szCs w:val="44"/>
          <w:shd w:val="clear" w:color="auto" w:fill="FFFFFF"/>
        </w:rPr>
        <w:t>上海市松江区退役军人事务局</w:t>
      </w:r>
    </w:p>
    <w:p>
      <w:pPr>
        <w:pStyle w:val="4"/>
        <w:widowControl/>
        <w:shd w:val="clear" w:color="auto" w:fill="FFFFFF"/>
        <w:spacing w:before="0" w:beforeAutospacing="0" w:after="0" w:afterAutospacing="0" w:line="560" w:lineRule="exact"/>
        <w:ind w:firstLine="420"/>
        <w:jc w:val="center"/>
        <w:rPr>
          <w:rFonts w:hint="eastAsia" w:ascii="黑体" w:hAnsi="黑体" w:eastAsia="黑体" w:cs="方正小标宋简体"/>
          <w:bCs/>
          <w:color w:val="000000"/>
          <w:sz w:val="44"/>
          <w:szCs w:val="44"/>
          <w:shd w:val="clear" w:color="auto" w:fill="FFFFFF"/>
        </w:rPr>
      </w:pPr>
      <w:r>
        <w:rPr>
          <w:rFonts w:hint="eastAsia" w:ascii="黑体" w:hAnsi="黑体" w:eastAsia="黑体" w:cs="方正小标宋简体"/>
          <w:bCs/>
          <w:color w:val="000000"/>
          <w:sz w:val="44"/>
          <w:szCs w:val="44"/>
          <w:shd w:val="clear" w:color="auto" w:fill="FFFFFF"/>
        </w:rPr>
        <w:t>202</w:t>
      </w:r>
      <w:r>
        <w:rPr>
          <w:rFonts w:hint="eastAsia" w:ascii="黑体" w:hAnsi="黑体" w:eastAsia="黑体" w:cs="方正小标宋简体"/>
          <w:bCs/>
          <w:color w:val="000000"/>
          <w:sz w:val="44"/>
          <w:szCs w:val="44"/>
          <w:shd w:val="clear" w:color="auto" w:fill="FFFFFF"/>
          <w:lang w:val="en-US" w:eastAsia="zh-CN"/>
        </w:rPr>
        <w:t>2</w:t>
      </w:r>
      <w:r>
        <w:rPr>
          <w:rFonts w:hint="eastAsia" w:ascii="黑体" w:hAnsi="黑体" w:eastAsia="黑体" w:cs="方正小标宋简体"/>
          <w:bCs/>
          <w:color w:val="000000"/>
          <w:sz w:val="44"/>
          <w:szCs w:val="44"/>
          <w:shd w:val="clear" w:color="auto" w:fill="FFFFFF"/>
        </w:rPr>
        <w:t>年政府信息公开工作年度报告</w:t>
      </w:r>
    </w:p>
    <w:p>
      <w:pPr>
        <w:pStyle w:val="4"/>
        <w:widowControl/>
        <w:shd w:val="clear" w:color="auto" w:fill="FFFFFF"/>
        <w:spacing w:before="0" w:beforeAutospacing="0" w:after="0" w:afterAutospacing="0" w:line="560" w:lineRule="exact"/>
        <w:ind w:firstLine="420"/>
        <w:jc w:val="center"/>
        <w:rPr>
          <w:rFonts w:hint="eastAsia" w:ascii="黑体" w:hAnsi="黑体" w:eastAsia="黑体" w:cs="方正小标宋简体"/>
          <w:bCs/>
          <w:color w:val="000000"/>
          <w:sz w:val="44"/>
          <w:szCs w:val="44"/>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640" w:firstLineChars="200"/>
        <w:jc w:val="both"/>
        <w:textAlignment w:val="auto"/>
        <w:rPr>
          <w:rFonts w:ascii="黑体" w:hAnsi="黑体" w:eastAsia="黑体" w:cs="宋体"/>
          <w:color w:val="000000"/>
          <w:sz w:val="32"/>
          <w:szCs w:val="32"/>
        </w:rPr>
      </w:pPr>
      <w:bookmarkStart w:id="0" w:name="OLE_LINK2"/>
      <w:bookmarkStart w:id="1" w:name="OLE_LINK1"/>
      <w:r>
        <w:rPr>
          <w:rFonts w:hint="eastAsia" w:ascii="黑体" w:hAnsi="黑体" w:eastAsia="黑体" w:cs="宋体"/>
          <w:color w:val="000000"/>
          <w:sz w:val="32"/>
          <w:szCs w:val="32"/>
          <w:shd w:val="clear" w:color="auto" w:fill="FFFFFF"/>
        </w:rPr>
        <w:t>一、总体情况</w:t>
      </w:r>
    </w:p>
    <w:p>
      <w:pPr>
        <w:keepNext w:val="0"/>
        <w:keepLines w:val="0"/>
        <w:pageBreakBefore w:val="0"/>
        <w:kinsoku/>
        <w:wordWrap/>
        <w:overflowPunct/>
        <w:topLinePunct w:val="0"/>
        <w:autoSpaceDE/>
        <w:autoSpaceDN/>
        <w:bidi w:val="0"/>
        <w:adjustRightInd/>
        <w:snapToGrid/>
        <w:spacing w:line="420" w:lineRule="auto"/>
        <w:ind w:firstLine="640" w:firstLineChars="200"/>
        <w:textAlignment w:val="auto"/>
        <w:rPr>
          <w:rFonts w:ascii="仿宋_GB2312" w:hAnsi="黑体" w:eastAsia="仿宋_GB2312"/>
          <w:sz w:val="32"/>
          <w:szCs w:val="32"/>
        </w:rPr>
      </w:pPr>
      <w:r>
        <w:rPr>
          <w:rFonts w:hint="eastAsia" w:ascii="仿宋_GB2312" w:eastAsia="仿宋_GB2312"/>
          <w:color w:val="333333"/>
          <w:sz w:val="32"/>
          <w:szCs w:val="32"/>
          <w:shd w:val="clear" w:color="auto" w:fill="FFFFFF"/>
        </w:rPr>
        <w:t>为贯彻落实《中华人民共和国政府信息公开条例》（以下简称《条例》）和《上海市政府信息公开规定》（以下简称 《规定》）要求，由松江区退役军人事务局编制此信息公开年报。全文包括总体情况、主动公开政府信息情况、收到和处理政府信息公开申请情况、政府信息公开行政复议、行政诉讼情况、政府信息公开工作存在的主要问题和改进情况、其他需要报告的事项。本年度报告中所列数据统计期限从202</w:t>
      </w:r>
      <w:r>
        <w:rPr>
          <w:rFonts w:hint="eastAsia" w:ascii="仿宋_GB2312" w:eastAsia="仿宋_GB2312"/>
          <w:color w:val="333333"/>
          <w:sz w:val="32"/>
          <w:szCs w:val="32"/>
          <w:shd w:val="clear" w:color="auto" w:fill="FFFFFF"/>
          <w:lang w:val="en-US" w:eastAsia="zh-CN"/>
        </w:rPr>
        <w:t>2</w:t>
      </w:r>
      <w:r>
        <w:rPr>
          <w:rFonts w:hint="eastAsia" w:ascii="仿宋_GB2312" w:eastAsia="仿宋_GB2312"/>
          <w:color w:val="333333"/>
          <w:sz w:val="32"/>
          <w:szCs w:val="32"/>
          <w:shd w:val="clear" w:color="auto" w:fill="FFFFFF"/>
        </w:rPr>
        <w:t>年1月1日至202</w:t>
      </w:r>
      <w:r>
        <w:rPr>
          <w:rFonts w:hint="eastAsia" w:ascii="仿宋_GB2312" w:eastAsia="仿宋_GB2312"/>
          <w:color w:val="333333"/>
          <w:sz w:val="32"/>
          <w:szCs w:val="32"/>
          <w:shd w:val="clear" w:color="auto" w:fill="FFFFFF"/>
          <w:lang w:val="en-US" w:eastAsia="zh-CN"/>
        </w:rPr>
        <w:t>2</w:t>
      </w:r>
      <w:r>
        <w:rPr>
          <w:rFonts w:hint="eastAsia" w:ascii="仿宋_GB2312" w:eastAsia="仿宋_GB2312"/>
          <w:color w:val="333333"/>
          <w:sz w:val="32"/>
          <w:szCs w:val="32"/>
          <w:shd w:val="clear" w:color="auto" w:fill="FFFFFF"/>
        </w:rPr>
        <w:t>年</w:t>
      </w:r>
      <w:r>
        <w:rPr>
          <w:rFonts w:hint="eastAsia" w:ascii="仿宋_GB2312" w:eastAsia="仿宋_GB2312"/>
          <w:color w:val="333333"/>
          <w:sz w:val="32"/>
          <w:szCs w:val="32"/>
          <w:shd w:val="clear" w:color="auto" w:fill="FFFFFF"/>
          <w:lang w:val="en-US" w:eastAsia="zh-CN"/>
        </w:rPr>
        <w:t>12</w:t>
      </w:r>
      <w:r>
        <w:rPr>
          <w:rFonts w:hint="eastAsia" w:ascii="仿宋_GB2312" w:eastAsia="仿宋_GB2312"/>
          <w:color w:val="333333"/>
          <w:sz w:val="32"/>
          <w:szCs w:val="32"/>
          <w:shd w:val="clear" w:color="auto" w:fill="FFFFFF"/>
        </w:rPr>
        <w:t>月3</w:t>
      </w:r>
      <w:r>
        <w:rPr>
          <w:rFonts w:hint="eastAsia" w:ascii="仿宋_GB2312" w:eastAsia="仿宋_GB2312"/>
          <w:color w:val="333333"/>
          <w:sz w:val="32"/>
          <w:szCs w:val="32"/>
          <w:shd w:val="clear" w:color="auto" w:fill="FFFFFF"/>
          <w:lang w:val="en-US" w:eastAsia="zh-CN"/>
        </w:rPr>
        <w:t>1</w:t>
      </w:r>
      <w:r>
        <w:rPr>
          <w:rFonts w:hint="eastAsia" w:ascii="仿宋_GB2312" w:eastAsia="仿宋_GB2312"/>
          <w:color w:val="333333"/>
          <w:sz w:val="32"/>
          <w:szCs w:val="32"/>
          <w:shd w:val="clear" w:color="auto" w:fill="FFFFFF"/>
        </w:rPr>
        <w:t>日，报告的电子版本可以在区门户网站（http://www.songjiang.gov.cn）上下载。如对本年度报告有何疑问，请联系：上海市松江区退役军人事务局办公室（地址：上海市松江区中山中路38号5号楼2楼，邮编：201600，电话：</w:t>
      </w:r>
      <w:r>
        <w:rPr>
          <w:rFonts w:hint="eastAsia" w:ascii="仿宋_GB2312" w:eastAsia="仿宋_GB2312"/>
          <w:color w:val="333333"/>
          <w:sz w:val="32"/>
          <w:szCs w:val="32"/>
          <w:shd w:val="clear" w:color="auto" w:fill="FFFFFF"/>
          <w:lang w:val="en-US" w:eastAsia="zh-CN"/>
        </w:rPr>
        <w:t>3</w:t>
      </w:r>
      <w:r>
        <w:rPr>
          <w:rFonts w:hint="eastAsia" w:ascii="仿宋_GB2312" w:eastAsia="仿宋_GB2312"/>
          <w:color w:val="333333"/>
          <w:sz w:val="32"/>
          <w:szCs w:val="32"/>
          <w:shd w:val="clear" w:color="auto" w:fill="FFFFFF"/>
        </w:rPr>
        <w:t>7736784，传真：37736902）。</w:t>
      </w:r>
    </w:p>
    <w:p>
      <w:pPr>
        <w:keepNext w:val="0"/>
        <w:keepLines w:val="0"/>
        <w:pageBreakBefore w:val="0"/>
        <w:kinsoku/>
        <w:wordWrap/>
        <w:overflowPunct/>
        <w:topLinePunct w:val="0"/>
        <w:autoSpaceDE/>
        <w:autoSpaceDN/>
        <w:bidi w:val="0"/>
        <w:adjustRightInd/>
        <w:snapToGrid/>
        <w:spacing w:line="420" w:lineRule="auto"/>
        <w:ind w:firstLine="640" w:firstLineChars="200"/>
        <w:textAlignment w:val="auto"/>
        <w:rPr>
          <w:rFonts w:ascii="楷体" w:hAnsi="楷体" w:eastAsia="楷体" w:cs="楷体"/>
          <w:sz w:val="32"/>
          <w:szCs w:val="32"/>
        </w:rPr>
      </w:pPr>
      <w:r>
        <w:rPr>
          <w:rFonts w:hint="eastAsia" w:ascii="楷体" w:hAnsi="楷体" w:eastAsia="楷体" w:cs="楷体"/>
          <w:sz w:val="32"/>
          <w:szCs w:val="32"/>
        </w:rPr>
        <w:t>（一）主动公开政府信息情况</w:t>
      </w:r>
    </w:p>
    <w:p>
      <w:pPr>
        <w:keepNext w:val="0"/>
        <w:keepLines w:val="0"/>
        <w:pageBreakBefore w:val="0"/>
        <w:kinsoku/>
        <w:wordWrap/>
        <w:overflowPunct/>
        <w:topLinePunct w:val="0"/>
        <w:autoSpaceDE/>
        <w:autoSpaceDN/>
        <w:bidi w:val="0"/>
        <w:adjustRightInd/>
        <w:snapToGrid/>
        <w:spacing w:line="420" w:lineRule="auto"/>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年，松江区退役军人事务局主动公开政府信息</w:t>
      </w:r>
      <w:r>
        <w:rPr>
          <w:rFonts w:hint="eastAsia" w:ascii="仿宋_GB2312" w:hAnsi="黑体" w:eastAsia="仿宋_GB2312"/>
          <w:sz w:val="32"/>
          <w:szCs w:val="32"/>
          <w:highlight w:val="none"/>
          <w:lang w:val="en-US" w:eastAsia="zh-CN"/>
        </w:rPr>
        <w:t>7</w:t>
      </w:r>
      <w:r>
        <w:rPr>
          <w:rFonts w:hint="eastAsia" w:ascii="仿宋_GB2312" w:hAnsi="黑体" w:eastAsia="仿宋_GB2312"/>
          <w:sz w:val="32"/>
          <w:szCs w:val="32"/>
          <w:highlight w:val="none"/>
        </w:rPr>
        <w:t>条。其中财政预算、决算信息</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条；法律、法规、规章和国家有关规定规定应当主动公开的其他政府信息</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条。</w:t>
      </w:r>
    </w:p>
    <w:p>
      <w:pPr>
        <w:keepNext w:val="0"/>
        <w:keepLines w:val="0"/>
        <w:pageBreakBefore w:val="0"/>
        <w:kinsoku/>
        <w:wordWrap/>
        <w:overflowPunct/>
        <w:topLinePunct w:val="0"/>
        <w:autoSpaceDE/>
        <w:autoSpaceDN/>
        <w:bidi w:val="0"/>
        <w:adjustRightInd/>
        <w:snapToGrid/>
        <w:spacing w:line="420" w:lineRule="auto"/>
        <w:ind w:firstLine="640" w:firstLineChars="200"/>
        <w:textAlignment w:val="auto"/>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（二）</w:t>
      </w:r>
      <w:r>
        <w:rPr>
          <w:rFonts w:ascii="楷体" w:hAnsi="楷体" w:eastAsia="楷体" w:cs="楷体"/>
          <w:bCs/>
          <w:sz w:val="32"/>
          <w:szCs w:val="32"/>
          <w:shd w:val="clear" w:color="auto" w:fill="FFFFFF"/>
        </w:rPr>
        <w:t>依申请公开政府信息情况</w:t>
      </w:r>
    </w:p>
    <w:p>
      <w:pPr>
        <w:keepNext w:val="0"/>
        <w:keepLines w:val="0"/>
        <w:pageBreakBefore w:val="0"/>
        <w:kinsoku/>
        <w:wordWrap/>
        <w:overflowPunct/>
        <w:topLinePunct w:val="0"/>
        <w:autoSpaceDE/>
        <w:autoSpaceDN/>
        <w:bidi w:val="0"/>
        <w:adjustRightInd/>
        <w:snapToGrid/>
        <w:spacing w:line="420" w:lineRule="auto"/>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松江区退役军人事务局根据《条例》等有关规定，本着“公开为原则，不公开为例外”的工作方针，对收到的信息公开申请，快速作出处理和答复。202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年度共受理政府信息公开申请1件，办结政府信息公开申请1件，完成率100%。</w:t>
      </w:r>
    </w:p>
    <w:p>
      <w:pPr>
        <w:keepNext w:val="0"/>
        <w:keepLines w:val="0"/>
        <w:pageBreakBefore w:val="0"/>
        <w:numPr>
          <w:ilvl w:val="0"/>
          <w:numId w:val="1"/>
        </w:numPr>
        <w:kinsoku/>
        <w:wordWrap/>
        <w:overflowPunct/>
        <w:topLinePunct w:val="0"/>
        <w:autoSpaceDE/>
        <w:autoSpaceDN/>
        <w:bidi w:val="0"/>
        <w:adjustRightInd/>
        <w:snapToGrid/>
        <w:spacing w:line="420" w:lineRule="auto"/>
        <w:ind w:firstLine="640" w:firstLineChars="200"/>
        <w:textAlignment w:val="auto"/>
        <w:rPr>
          <w:rFonts w:ascii="楷体" w:hAnsi="楷体" w:eastAsia="楷体" w:cs="楷体"/>
          <w:bCs/>
          <w:color w:val="333333"/>
          <w:sz w:val="32"/>
          <w:szCs w:val="32"/>
          <w:shd w:val="clear" w:color="auto" w:fill="FFFFFF"/>
        </w:rPr>
      </w:pPr>
      <w:r>
        <w:rPr>
          <w:rFonts w:hint="eastAsia" w:ascii="楷体" w:hAnsi="楷体" w:eastAsia="楷体" w:cs="楷体"/>
          <w:bCs/>
          <w:color w:val="333333"/>
          <w:sz w:val="32"/>
          <w:szCs w:val="32"/>
          <w:shd w:val="clear" w:color="auto" w:fill="FFFFFF"/>
        </w:rPr>
        <w:t>政府信息管理情况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643" w:firstLineChars="200"/>
        <w:textAlignment w:val="auto"/>
        <w:rPr>
          <w:rFonts w:ascii="仿宋_GB2312" w:hAnsi="黑体" w:eastAsia="仿宋_GB2312"/>
          <w:kern w:val="2"/>
          <w:sz w:val="32"/>
          <w:szCs w:val="32"/>
        </w:rPr>
      </w:pPr>
      <w:r>
        <w:rPr>
          <w:rFonts w:hint="eastAsia" w:ascii="仿宋_GB2312" w:eastAsia="仿宋_GB2312"/>
          <w:b/>
          <w:bCs/>
          <w:kern w:val="2"/>
          <w:sz w:val="32"/>
          <w:szCs w:val="32"/>
        </w:rPr>
        <w:t> 1.落实公文公开属性认定机制。</w:t>
      </w:r>
      <w:r>
        <w:rPr>
          <w:rFonts w:hint="eastAsia" w:ascii="仿宋_GB2312" w:hAnsi="黑体" w:eastAsia="仿宋_GB2312"/>
          <w:kern w:val="2"/>
          <w:sz w:val="32"/>
          <w:szCs w:val="32"/>
        </w:rPr>
        <w:t>根据《条例》和松江区关于政府公文公开属性源头认定工作的要求，在日常的公文运作中，形成了公文公开属性审核工作流程，由办公室对公开内容进行定期检查。对本单位不予公开的信息以及依申请公开信息进行全面自查，对应公开未公开的信息、可转为主动公开的信息及时主动公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jc w:val="both"/>
        <w:textAlignment w:val="auto"/>
        <w:rPr>
          <w:rFonts w:ascii="仿宋_GB2312" w:hAnsi="黑体" w:eastAsia="仿宋_GB2312"/>
          <w:kern w:val="2"/>
          <w:sz w:val="32"/>
          <w:szCs w:val="32"/>
        </w:rPr>
      </w:pPr>
      <w:r>
        <w:rPr>
          <w:rFonts w:hint="eastAsia" w:ascii="微软雅黑" w:hAnsi="微软雅黑" w:eastAsia="微软雅黑" w:cs="微软雅黑"/>
          <w:b/>
          <w:color w:val="333333"/>
          <w:sz w:val="32"/>
          <w:szCs w:val="32"/>
          <w:shd w:val="clear" w:color="auto" w:fill="FFFFFF"/>
        </w:rPr>
        <w:t xml:space="preserve">     </w:t>
      </w:r>
      <w:r>
        <w:rPr>
          <w:rFonts w:hint="eastAsia" w:ascii="仿宋_GB2312" w:eastAsia="仿宋_GB2312"/>
          <w:b/>
          <w:bCs/>
          <w:kern w:val="2"/>
          <w:sz w:val="32"/>
          <w:szCs w:val="32"/>
        </w:rPr>
        <w:t>2. 落实政府信息发布审查机制。</w:t>
      </w:r>
      <w:r>
        <w:rPr>
          <w:rFonts w:hint="eastAsia" w:ascii="仿宋_GB2312" w:hAnsi="黑体" w:eastAsia="仿宋_GB2312"/>
          <w:kern w:val="2"/>
          <w:sz w:val="32"/>
          <w:szCs w:val="32"/>
        </w:rPr>
        <w:t>由负责政务公开工作的分管领导负责信息发布审核工作，指定专人负责，由办公室负责承担政府信息公开发布的复核工作，确保政府信息的真实、及时、准确、安全。未经审查的信息不得公开，公开的信息决不能涉密。</w:t>
      </w:r>
    </w:p>
    <w:p>
      <w:pPr>
        <w:keepNext w:val="0"/>
        <w:keepLines w:val="0"/>
        <w:pageBreakBefore w:val="0"/>
        <w:kinsoku/>
        <w:wordWrap/>
        <w:overflowPunct/>
        <w:topLinePunct w:val="0"/>
        <w:autoSpaceDE/>
        <w:autoSpaceDN/>
        <w:bidi w:val="0"/>
        <w:adjustRightInd/>
        <w:snapToGrid/>
        <w:spacing w:line="420" w:lineRule="auto"/>
        <w:ind w:firstLine="640" w:firstLineChars="200"/>
        <w:textAlignment w:val="auto"/>
        <w:rPr>
          <w:rFonts w:ascii="楷体" w:hAnsi="楷体" w:eastAsia="楷体" w:cs="楷体"/>
          <w:bCs/>
          <w:color w:val="333333"/>
          <w:sz w:val="32"/>
          <w:szCs w:val="32"/>
          <w:shd w:val="clear" w:color="auto" w:fill="FFFFFF"/>
        </w:rPr>
      </w:pPr>
      <w:r>
        <w:rPr>
          <w:rFonts w:hint="eastAsia" w:ascii="楷体" w:hAnsi="楷体" w:eastAsia="楷体" w:cs="楷体"/>
          <w:bCs/>
          <w:color w:val="333333"/>
          <w:sz w:val="32"/>
          <w:szCs w:val="32"/>
          <w:shd w:val="clear" w:color="auto" w:fill="FFFFFF"/>
        </w:rPr>
        <w:t>（四）平台建设情况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643" w:firstLineChars="200"/>
        <w:textAlignment w:val="auto"/>
        <w:rPr>
          <w:rFonts w:ascii="微软雅黑" w:hAnsi="微软雅黑" w:eastAsia="微软雅黑" w:cs="微软雅黑"/>
          <w:color w:val="333333"/>
          <w:sz w:val="21"/>
          <w:szCs w:val="21"/>
        </w:rPr>
      </w:pPr>
      <w:r>
        <w:rPr>
          <w:rFonts w:ascii="仿宋" w:hAnsi="仿宋" w:eastAsia="仿宋" w:cs="仿宋"/>
          <w:b/>
          <w:color w:val="333333"/>
          <w:sz w:val="32"/>
          <w:szCs w:val="32"/>
          <w:shd w:val="clear" w:color="auto" w:fill="FFFFFF"/>
        </w:rPr>
        <w:t>1.</w:t>
      </w:r>
      <w:r>
        <w:rPr>
          <w:rFonts w:hint="eastAsia" w:ascii="仿宋" w:hAnsi="仿宋" w:eastAsia="仿宋" w:cs="仿宋"/>
          <w:b/>
          <w:color w:val="333333"/>
          <w:sz w:val="32"/>
          <w:szCs w:val="32"/>
          <w:shd w:val="clear" w:color="auto" w:fill="FFFFFF"/>
        </w:rPr>
        <w:t>松江区门户网站。</w:t>
      </w:r>
      <w:r>
        <w:rPr>
          <w:rFonts w:hint="eastAsia" w:ascii="仿宋_GB2312" w:hAnsi="黑体" w:eastAsia="仿宋_GB2312"/>
          <w:kern w:val="2"/>
          <w:sz w:val="32"/>
          <w:szCs w:val="32"/>
        </w:rPr>
        <w:t>市民可以通过“上海松江”门户网站（</w:t>
      </w:r>
      <w:r>
        <w:fldChar w:fldCharType="begin"/>
      </w:r>
      <w:r>
        <w:instrText xml:space="preserve"> HYPERLINK "http://www.songjiang.gov.cn/" </w:instrText>
      </w:r>
      <w:r>
        <w:fldChar w:fldCharType="separate"/>
      </w:r>
      <w:r>
        <w:rPr>
          <w:rFonts w:hint="eastAsia" w:ascii="仿宋_GB2312" w:hAnsi="黑体" w:eastAsia="仿宋_GB2312"/>
          <w:kern w:val="2"/>
          <w:sz w:val="32"/>
          <w:szCs w:val="32"/>
        </w:rPr>
        <w:t>http://www.songjiang.gov.cn</w:t>
      </w:r>
      <w:r>
        <w:rPr>
          <w:rFonts w:hint="eastAsia" w:ascii="仿宋_GB2312" w:hAnsi="黑体" w:eastAsia="仿宋_GB2312"/>
          <w:kern w:val="2"/>
          <w:sz w:val="32"/>
          <w:szCs w:val="32"/>
        </w:rPr>
        <w:fldChar w:fldCharType="end"/>
      </w:r>
      <w:r>
        <w:rPr>
          <w:rFonts w:hint="eastAsia" w:ascii="仿宋_GB2312" w:hAnsi="黑体" w:eastAsia="仿宋_GB2312"/>
          <w:kern w:val="2"/>
          <w:sz w:val="32"/>
          <w:szCs w:val="32"/>
        </w:rPr>
        <w:t>）的“政务公开”专栏查询主动公开的政府信息。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643" w:firstLineChars="200"/>
        <w:textAlignment w:val="auto"/>
        <w:rPr>
          <w:rFonts w:ascii="仿宋_GB2312" w:hAnsi="黑体" w:eastAsia="仿宋_GB2312"/>
          <w:kern w:val="2"/>
          <w:sz w:val="32"/>
          <w:szCs w:val="32"/>
        </w:rPr>
      </w:pPr>
      <w:r>
        <w:rPr>
          <w:rFonts w:hint="eastAsia" w:ascii="仿宋" w:hAnsi="仿宋" w:eastAsia="仿宋" w:cs="仿宋"/>
          <w:b/>
          <w:color w:val="333333"/>
          <w:sz w:val="32"/>
          <w:szCs w:val="32"/>
          <w:shd w:val="clear" w:color="auto" w:fill="FFFFFF"/>
        </w:rPr>
        <w:t>2.政务新媒体。</w:t>
      </w:r>
      <w:r>
        <w:rPr>
          <w:rFonts w:hint="eastAsia" w:ascii="仿宋_GB2312" w:hAnsi="黑体" w:eastAsia="仿宋_GB2312"/>
          <w:kern w:val="2"/>
          <w:sz w:val="32"/>
          <w:szCs w:val="32"/>
        </w:rPr>
        <w:t>市民可以通过微信公众号“松江双拥”关注松江退役军人事务工作的各项动态，202</w:t>
      </w:r>
      <w:r>
        <w:rPr>
          <w:rFonts w:hint="eastAsia" w:ascii="仿宋_GB2312" w:hAnsi="黑体" w:eastAsia="仿宋_GB2312"/>
          <w:kern w:val="2"/>
          <w:sz w:val="32"/>
          <w:szCs w:val="32"/>
          <w:lang w:val="en-US" w:eastAsia="zh-CN"/>
        </w:rPr>
        <w:t>2</w:t>
      </w:r>
      <w:r>
        <w:rPr>
          <w:rFonts w:hint="eastAsia" w:ascii="仿宋_GB2312" w:hAnsi="黑体" w:eastAsia="仿宋_GB2312"/>
          <w:kern w:val="2"/>
          <w:sz w:val="32"/>
          <w:szCs w:val="32"/>
        </w:rPr>
        <w:t>年</w:t>
      </w:r>
      <w:r>
        <w:rPr>
          <w:rFonts w:hint="eastAsia" w:ascii="仿宋_GB2312" w:hAnsi="黑体" w:eastAsia="仿宋_GB2312"/>
          <w:kern w:val="2"/>
          <w:sz w:val="32"/>
          <w:szCs w:val="32"/>
          <w:lang w:val="en-US" w:eastAsia="zh-CN"/>
        </w:rPr>
        <w:t>1月至12月期间</w:t>
      </w:r>
      <w:r>
        <w:rPr>
          <w:rFonts w:hint="eastAsia" w:ascii="仿宋_GB2312" w:hAnsi="黑体" w:eastAsia="仿宋_GB2312"/>
          <w:kern w:val="2"/>
          <w:sz w:val="32"/>
          <w:szCs w:val="32"/>
        </w:rPr>
        <w:t>共计发布信息</w:t>
      </w:r>
      <w:r>
        <w:rPr>
          <w:rFonts w:hint="eastAsia" w:ascii="仿宋_GB2312" w:hAnsi="黑体" w:eastAsia="仿宋_GB2312"/>
          <w:kern w:val="2"/>
          <w:sz w:val="32"/>
          <w:szCs w:val="32"/>
          <w:lang w:val="en-US" w:eastAsia="zh-CN"/>
        </w:rPr>
        <w:t>434</w:t>
      </w:r>
      <w:r>
        <w:rPr>
          <w:rFonts w:hint="eastAsia" w:ascii="仿宋_GB2312" w:hAnsi="黑体" w:eastAsia="仿宋_GB2312"/>
          <w:kern w:val="2"/>
          <w:sz w:val="32"/>
          <w:szCs w:val="32"/>
        </w:rPr>
        <w:t>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643" w:firstLineChars="200"/>
        <w:textAlignment w:val="auto"/>
        <w:rPr>
          <w:rFonts w:ascii="仿宋_GB2312" w:hAnsi="黑体" w:eastAsia="仿宋_GB2312"/>
          <w:kern w:val="2"/>
          <w:sz w:val="32"/>
          <w:szCs w:val="32"/>
        </w:rPr>
      </w:pPr>
      <w:r>
        <w:rPr>
          <w:rFonts w:ascii="仿宋" w:hAnsi="仿宋" w:eastAsia="仿宋" w:cs="仿宋"/>
          <w:b/>
          <w:color w:val="333333"/>
          <w:sz w:val="32"/>
          <w:szCs w:val="32"/>
          <w:shd w:val="clear" w:color="auto" w:fill="FFFFFF"/>
        </w:rPr>
        <w:t>3.</w:t>
      </w:r>
      <w:r>
        <w:rPr>
          <w:rFonts w:hint="eastAsia" w:ascii="仿宋" w:hAnsi="仿宋" w:eastAsia="仿宋" w:cs="仿宋"/>
          <w:b/>
          <w:color w:val="333333"/>
          <w:sz w:val="32"/>
          <w:szCs w:val="32"/>
          <w:shd w:val="clear" w:color="auto" w:fill="FFFFFF"/>
        </w:rPr>
        <w:t>便民举措。</w:t>
      </w:r>
      <w:r>
        <w:rPr>
          <w:rFonts w:hint="eastAsia" w:ascii="仿宋_GB2312" w:hAnsi="黑体" w:eastAsia="仿宋_GB2312"/>
          <w:kern w:val="2"/>
          <w:sz w:val="32"/>
          <w:szCs w:val="32"/>
        </w:rPr>
        <w:t>配合区档案馆、图书馆纸质公文查询中心做好相关工作，方便市民查阅行政机关制发的纸质公文。</w:t>
      </w:r>
    </w:p>
    <w:p>
      <w:pPr>
        <w:keepNext w:val="0"/>
        <w:keepLines w:val="0"/>
        <w:pageBreakBefore w:val="0"/>
        <w:numPr>
          <w:ilvl w:val="0"/>
          <w:numId w:val="2"/>
        </w:numPr>
        <w:kinsoku/>
        <w:wordWrap/>
        <w:overflowPunct/>
        <w:topLinePunct w:val="0"/>
        <w:autoSpaceDE/>
        <w:autoSpaceDN/>
        <w:bidi w:val="0"/>
        <w:adjustRightInd/>
        <w:snapToGrid/>
        <w:spacing w:line="420" w:lineRule="auto"/>
        <w:ind w:firstLine="640" w:firstLineChars="200"/>
        <w:textAlignment w:val="auto"/>
        <w:rPr>
          <w:rFonts w:ascii="楷体" w:hAnsi="楷体" w:eastAsia="楷体" w:cs="楷体"/>
          <w:bCs/>
          <w:color w:val="333333"/>
          <w:sz w:val="32"/>
          <w:szCs w:val="32"/>
          <w:shd w:val="clear" w:color="auto" w:fill="FFFFFF"/>
        </w:rPr>
      </w:pPr>
      <w:r>
        <w:rPr>
          <w:rFonts w:hint="eastAsia" w:ascii="楷体" w:hAnsi="楷体" w:eastAsia="楷体" w:cs="楷体"/>
          <w:bCs/>
          <w:color w:val="333333"/>
          <w:sz w:val="32"/>
          <w:szCs w:val="32"/>
          <w:shd w:val="clear" w:color="auto" w:fill="FFFFFF"/>
        </w:rPr>
        <w:t>监督保障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643" w:firstLineChars="200"/>
        <w:textAlignment w:val="auto"/>
        <w:rPr>
          <w:rFonts w:ascii="仿宋_GB2312" w:hAnsi="黑体" w:eastAsia="仿宋_GB2312"/>
          <w:kern w:val="2"/>
          <w:sz w:val="32"/>
          <w:szCs w:val="32"/>
        </w:rPr>
      </w:pPr>
      <w:r>
        <w:rPr>
          <w:rFonts w:ascii="仿宋" w:hAnsi="仿宋" w:eastAsia="仿宋" w:cs="仿宋"/>
          <w:b/>
          <w:color w:val="333333"/>
          <w:sz w:val="32"/>
          <w:szCs w:val="32"/>
          <w:shd w:val="clear" w:color="auto" w:fill="FFFFFF"/>
        </w:rPr>
        <w:t>1.</w:t>
      </w:r>
      <w:r>
        <w:rPr>
          <w:rFonts w:hint="eastAsia" w:ascii="仿宋" w:hAnsi="仿宋" w:eastAsia="仿宋" w:cs="仿宋"/>
          <w:b/>
          <w:color w:val="333333"/>
          <w:sz w:val="32"/>
          <w:szCs w:val="32"/>
          <w:shd w:val="clear" w:color="auto" w:fill="FFFFFF"/>
        </w:rPr>
        <w:t>政务公开培训情况。</w:t>
      </w:r>
      <w:r>
        <w:rPr>
          <w:rFonts w:hint="eastAsia" w:ascii="仿宋_GB2312" w:hAnsi="黑体" w:eastAsia="仿宋_GB2312"/>
          <w:kern w:val="2"/>
          <w:sz w:val="32"/>
          <w:szCs w:val="32"/>
        </w:rPr>
        <w:t>积极参加</w:t>
      </w:r>
      <w:r>
        <w:rPr>
          <w:rFonts w:hint="eastAsia" w:ascii="仿宋" w:hAnsi="仿宋" w:eastAsia="仿宋" w:cs="仿宋"/>
          <w:color w:val="000000"/>
          <w:kern w:val="2"/>
          <w:sz w:val="32"/>
          <w:szCs w:val="32"/>
          <w:shd w:val="clear" w:color="auto" w:fill="FFFFFF"/>
        </w:rPr>
        <w:t>区政府办举办的政务公开专题培训，培训后落实完善政务公开工作要求，</w:t>
      </w:r>
      <w:r>
        <w:rPr>
          <w:rFonts w:hint="eastAsia" w:ascii="仿宋_GB2312" w:hAnsi="黑体" w:eastAsia="仿宋_GB2312"/>
          <w:kern w:val="2"/>
          <w:sz w:val="32"/>
          <w:szCs w:val="32"/>
        </w:rPr>
        <w:t>提升政务公开水平。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643" w:firstLineChars="200"/>
        <w:textAlignment w:val="auto"/>
        <w:rPr>
          <w:rFonts w:ascii="仿宋_GB2312" w:hAnsi="黑体" w:eastAsia="仿宋_GB2312"/>
          <w:kern w:val="2"/>
          <w:sz w:val="32"/>
          <w:szCs w:val="32"/>
        </w:rPr>
      </w:pPr>
      <w:r>
        <w:rPr>
          <w:rFonts w:hint="eastAsia" w:ascii="仿宋" w:hAnsi="仿宋" w:eastAsia="仿宋" w:cs="仿宋"/>
          <w:b/>
          <w:color w:val="333333"/>
          <w:sz w:val="32"/>
          <w:szCs w:val="32"/>
          <w:shd w:val="clear" w:color="auto" w:fill="FFFFFF"/>
        </w:rPr>
        <w:t>2.考核、评议情况。</w:t>
      </w:r>
      <w:r>
        <w:rPr>
          <w:rFonts w:hint="eastAsia" w:ascii="仿宋_GB2312" w:hAnsi="黑体" w:eastAsia="仿宋_GB2312"/>
          <w:kern w:val="2"/>
          <w:sz w:val="32"/>
          <w:szCs w:val="32"/>
        </w:rPr>
        <w:t>将政务公开作为松江区退役军人事务局的一项重要工作来抓，接受区府办、第三方考核，及时纠正、完善考核中发现的不足。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643" w:firstLineChars="200"/>
        <w:textAlignment w:val="auto"/>
        <w:rPr>
          <w:rFonts w:ascii="仿宋_GB2312" w:hAnsi="黑体" w:eastAsia="仿宋_GB2312"/>
          <w:kern w:val="2"/>
          <w:sz w:val="32"/>
          <w:szCs w:val="32"/>
        </w:rPr>
      </w:pPr>
      <w:r>
        <w:rPr>
          <w:rFonts w:hint="eastAsia" w:ascii="仿宋" w:hAnsi="仿宋" w:eastAsia="仿宋" w:cs="仿宋"/>
          <w:b/>
          <w:color w:val="333333"/>
          <w:sz w:val="32"/>
          <w:szCs w:val="32"/>
          <w:shd w:val="clear" w:color="auto" w:fill="FFFFFF"/>
        </w:rPr>
        <w:t>3.行政复议、行政诉讼情况。</w:t>
      </w:r>
      <w:r>
        <w:rPr>
          <w:rFonts w:hint="eastAsia" w:ascii="仿宋_GB2312" w:hAnsi="黑体" w:eastAsia="仿宋_GB2312"/>
          <w:kern w:val="2"/>
          <w:sz w:val="32"/>
          <w:szCs w:val="32"/>
        </w:rPr>
        <w:t>202</w:t>
      </w:r>
      <w:r>
        <w:rPr>
          <w:rFonts w:hint="eastAsia" w:ascii="仿宋_GB2312" w:hAnsi="黑体" w:eastAsia="仿宋_GB2312"/>
          <w:kern w:val="2"/>
          <w:sz w:val="32"/>
          <w:szCs w:val="32"/>
          <w:lang w:val="en-US" w:eastAsia="zh-CN"/>
        </w:rPr>
        <w:t>2</w:t>
      </w:r>
      <w:r>
        <w:rPr>
          <w:rFonts w:hint="eastAsia" w:ascii="仿宋_GB2312" w:hAnsi="黑体" w:eastAsia="仿宋_GB2312"/>
          <w:kern w:val="2"/>
          <w:sz w:val="32"/>
          <w:szCs w:val="32"/>
        </w:rPr>
        <w:t>年度未发生针对本部门有关政府信息公开方面的行政复议案和行政诉讼。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textAlignment w:val="auto"/>
        <w:rPr>
          <w:rFonts w:ascii="黑体" w:hAnsi="黑体" w:eastAsia="黑体" w:cs="宋体"/>
          <w:color w:val="000000"/>
          <w:sz w:val="32"/>
          <w:szCs w:val="32"/>
          <w:shd w:val="clear" w:color="auto" w:fill="FFFFFF"/>
        </w:rPr>
      </w:pPr>
      <w:r>
        <w:rPr>
          <w:rFonts w:ascii="黑体" w:hAnsi="宋体" w:eastAsia="黑体" w:cs="黑体"/>
          <w:color w:val="333333"/>
          <w:sz w:val="32"/>
          <w:szCs w:val="32"/>
          <w:shd w:val="clear" w:color="auto" w:fill="FFFFFF"/>
        </w:rPr>
        <w:t> </w:t>
      </w:r>
      <w:r>
        <w:rPr>
          <w:rFonts w:hint="eastAsia" w:ascii="黑体" w:hAnsi="黑体" w:eastAsia="黑体" w:cs="宋体"/>
          <w:color w:val="000000"/>
          <w:sz w:val="32"/>
          <w:szCs w:val="32"/>
          <w:shd w:val="clear" w:color="auto" w:fill="FFFFFF"/>
        </w:rPr>
        <w:t>二、主动公开政府信息情况</w:t>
      </w:r>
    </w:p>
    <w:tbl>
      <w:tblPr>
        <w:tblStyle w:val="5"/>
        <w:tblpPr w:leftFromText="180" w:rightFromText="180" w:vertAnchor="text" w:horzAnchor="page" w:tblpXSpec="center" w:tblpY="169"/>
        <w:tblOverlap w:val="never"/>
        <w:tblW w:w="8140" w:type="dxa"/>
        <w:jc w:val="center"/>
        <w:shd w:val="clear" w:color="auto" w:fill="FFFFFF" w:themeFill="background1"/>
        <w:tblLayout w:type="fixed"/>
        <w:tblCellMar>
          <w:top w:w="0" w:type="dxa"/>
          <w:left w:w="0" w:type="dxa"/>
          <w:bottom w:w="0" w:type="dxa"/>
          <w:right w:w="0" w:type="dxa"/>
        </w:tblCellMar>
      </w:tblPr>
      <w:tblGrid>
        <w:gridCol w:w="2292"/>
        <w:gridCol w:w="2122"/>
        <w:gridCol w:w="1845"/>
        <w:gridCol w:w="1881"/>
      </w:tblGrid>
      <w:tr>
        <w:tblPrEx>
          <w:shd w:val="clear" w:color="auto" w:fill="FFFFFF" w:themeFill="background1"/>
          <w:tblCellMar>
            <w:top w:w="0" w:type="dxa"/>
            <w:left w:w="0" w:type="dxa"/>
            <w:bottom w:w="0" w:type="dxa"/>
            <w:right w:w="0" w:type="dxa"/>
          </w:tblCellMar>
        </w:tblPrEx>
        <w:trPr>
          <w:trHeight w:val="510" w:hRule="exac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bookmarkStart w:id="2" w:name="_GoBack"/>
            <w:r>
              <w:rPr>
                <w:rFonts w:hint="eastAsia" w:cs="宋体" w:asciiTheme="minorEastAsia" w:hAnsiTheme="minorEastAsia" w:eastAsiaTheme="minorEastAsia"/>
                <w:color w:val="000000"/>
                <w:kern w:val="0"/>
                <w:sz w:val="20"/>
                <w:szCs w:val="20"/>
              </w:rPr>
              <w:t>第二十条第（一）项</w:t>
            </w:r>
          </w:p>
        </w:tc>
      </w:tr>
      <w:tr>
        <w:tblPrEx>
          <w:tblCellMar>
            <w:top w:w="0" w:type="dxa"/>
            <w:left w:w="0" w:type="dxa"/>
            <w:bottom w:w="0" w:type="dxa"/>
            <w:right w:w="0" w:type="dxa"/>
          </w:tblCellMar>
        </w:tblPrEx>
        <w:trPr>
          <w:trHeight w:val="510" w:hRule="exact"/>
          <w:jc w:val="center"/>
        </w:trPr>
        <w:tc>
          <w:tcPr>
            <w:tcW w:w="2292" w:type="dxa"/>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信息内容</w:t>
            </w:r>
          </w:p>
        </w:tc>
        <w:tc>
          <w:tcPr>
            <w:tcW w:w="2122" w:type="dxa"/>
            <w:tcBorders>
              <w:top w:val="single" w:color="auto" w:sz="8"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本年新</w:t>
            </w:r>
            <w:r>
              <w:rPr>
                <w:rFonts w:asciiTheme="minorEastAsia" w:hAnsiTheme="minorEastAsia" w:eastAsiaTheme="minorEastAsia"/>
                <w:color w:val="000000"/>
                <w:kern w:val="0"/>
                <w:sz w:val="20"/>
                <w:szCs w:val="20"/>
              </w:rPr>
              <w:t>制作数量</w:t>
            </w:r>
          </w:p>
        </w:tc>
        <w:tc>
          <w:tcPr>
            <w:tcW w:w="1845" w:type="dxa"/>
            <w:tcBorders>
              <w:top w:val="single" w:color="auto" w:sz="8"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本年新</w:t>
            </w:r>
            <w:r>
              <w:rPr>
                <w:rFonts w:asciiTheme="minorEastAsia" w:hAnsiTheme="minorEastAsia" w:eastAsiaTheme="minorEastAsia"/>
                <w:color w:val="000000"/>
                <w:kern w:val="0"/>
                <w:sz w:val="20"/>
                <w:szCs w:val="20"/>
              </w:rPr>
              <w:t>公开数量</w:t>
            </w:r>
          </w:p>
        </w:tc>
        <w:tc>
          <w:tcPr>
            <w:tcW w:w="188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对外公开总数量</w:t>
            </w:r>
          </w:p>
        </w:tc>
      </w:tr>
      <w:tr>
        <w:tblPrEx>
          <w:tblCellMar>
            <w:top w:w="0" w:type="dxa"/>
            <w:left w:w="0" w:type="dxa"/>
            <w:bottom w:w="0" w:type="dxa"/>
            <w:right w:w="0" w:type="dxa"/>
          </w:tblCellMar>
        </w:tblPrEx>
        <w:trPr>
          <w:trHeight w:val="510" w:hRule="exact"/>
          <w:jc w:val="center"/>
        </w:trPr>
        <w:tc>
          <w:tcPr>
            <w:tcW w:w="2292" w:type="dxa"/>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规章</w:t>
            </w:r>
          </w:p>
        </w:tc>
        <w:tc>
          <w:tcPr>
            <w:tcW w:w="2122"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w:t>
            </w:r>
          </w:p>
        </w:tc>
        <w:tc>
          <w:tcPr>
            <w:tcW w:w="184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w:t>
            </w:r>
          </w:p>
        </w:tc>
        <w:tc>
          <w:tcPr>
            <w:tcW w:w="188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w:t>
            </w:r>
          </w:p>
        </w:tc>
      </w:tr>
      <w:tr>
        <w:tblPrEx>
          <w:tblCellMar>
            <w:top w:w="0" w:type="dxa"/>
            <w:left w:w="0" w:type="dxa"/>
            <w:bottom w:w="0" w:type="dxa"/>
            <w:right w:w="0" w:type="dxa"/>
          </w:tblCellMar>
        </w:tblPrEx>
        <w:trPr>
          <w:trHeight w:val="510" w:hRule="exact"/>
          <w:jc w:val="center"/>
        </w:trPr>
        <w:tc>
          <w:tcPr>
            <w:tcW w:w="2292" w:type="dxa"/>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规范性文件</w:t>
            </w:r>
          </w:p>
        </w:tc>
        <w:tc>
          <w:tcPr>
            <w:tcW w:w="2122"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w:t>
            </w:r>
          </w:p>
        </w:tc>
        <w:tc>
          <w:tcPr>
            <w:tcW w:w="184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w:t>
            </w:r>
          </w:p>
        </w:tc>
        <w:tc>
          <w:tcPr>
            <w:tcW w:w="188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w:t>
            </w:r>
          </w:p>
        </w:tc>
      </w:tr>
      <w:tr>
        <w:tblPrEx>
          <w:tblCellMar>
            <w:top w:w="0" w:type="dxa"/>
            <w:left w:w="0" w:type="dxa"/>
            <w:bottom w:w="0" w:type="dxa"/>
            <w:right w:w="0" w:type="dxa"/>
          </w:tblCellMar>
        </w:tblPrEx>
        <w:trPr>
          <w:trHeight w:val="510" w:hRule="exact"/>
          <w:jc w:val="center"/>
        </w:trPr>
        <w:tc>
          <w:tcPr>
            <w:tcW w:w="8140" w:type="dxa"/>
            <w:gridSpan w:val="4"/>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第二十条第（五）项</w:t>
            </w:r>
          </w:p>
        </w:tc>
      </w:tr>
      <w:tr>
        <w:tblPrEx>
          <w:tblCellMar>
            <w:top w:w="0" w:type="dxa"/>
            <w:left w:w="0" w:type="dxa"/>
            <w:bottom w:w="0" w:type="dxa"/>
            <w:right w:w="0" w:type="dxa"/>
          </w:tblCellMar>
        </w:tblPrEx>
        <w:trPr>
          <w:trHeight w:val="510" w:hRule="exact"/>
          <w:jc w:val="center"/>
        </w:trPr>
        <w:tc>
          <w:tcPr>
            <w:tcW w:w="2292" w:type="dxa"/>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信息内容</w:t>
            </w:r>
          </w:p>
        </w:tc>
        <w:tc>
          <w:tcPr>
            <w:tcW w:w="5848" w:type="dxa"/>
            <w:gridSpan w:val="3"/>
            <w:tcBorders>
              <w:top w:val="single" w:color="auto" w:sz="8"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cs="宋体" w:asciiTheme="minorEastAsia" w:hAnsiTheme="minorEastAsia" w:eastAsiaTheme="minorEastAsia"/>
                <w:color w:val="000000"/>
                <w:kern w:val="0"/>
                <w:sz w:val="20"/>
                <w:szCs w:val="20"/>
              </w:rPr>
              <w:t>本年度处理决定数量</w:t>
            </w:r>
          </w:p>
        </w:tc>
      </w:tr>
      <w:tr>
        <w:tblPrEx>
          <w:tblCellMar>
            <w:top w:w="0" w:type="dxa"/>
            <w:left w:w="0" w:type="dxa"/>
            <w:bottom w:w="0" w:type="dxa"/>
            <w:right w:w="0" w:type="dxa"/>
          </w:tblCellMar>
        </w:tblPrEx>
        <w:trPr>
          <w:trHeight w:val="510" w:hRule="exact"/>
          <w:jc w:val="center"/>
        </w:trPr>
        <w:tc>
          <w:tcPr>
            <w:tcW w:w="2292" w:type="dxa"/>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行政许可</w:t>
            </w:r>
          </w:p>
        </w:tc>
        <w:tc>
          <w:tcPr>
            <w:tcW w:w="5848" w:type="dxa"/>
            <w:gridSpan w:val="3"/>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0</w:t>
            </w:r>
          </w:p>
        </w:tc>
      </w:tr>
      <w:tr>
        <w:tblPrEx>
          <w:tblCellMar>
            <w:top w:w="0" w:type="dxa"/>
            <w:left w:w="0" w:type="dxa"/>
            <w:bottom w:w="0" w:type="dxa"/>
            <w:right w:w="0" w:type="dxa"/>
          </w:tblCellMar>
        </w:tblPrEx>
        <w:trPr>
          <w:trHeight w:val="510" w:hRule="exact"/>
          <w:jc w:val="center"/>
        </w:trPr>
        <w:tc>
          <w:tcPr>
            <w:tcW w:w="8140" w:type="dxa"/>
            <w:gridSpan w:val="4"/>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第二十条第（六）项</w:t>
            </w:r>
          </w:p>
        </w:tc>
      </w:tr>
      <w:tr>
        <w:tblPrEx>
          <w:tblCellMar>
            <w:top w:w="0" w:type="dxa"/>
            <w:left w:w="0" w:type="dxa"/>
            <w:bottom w:w="0" w:type="dxa"/>
            <w:right w:w="0" w:type="dxa"/>
          </w:tblCellMar>
        </w:tblPrEx>
        <w:trPr>
          <w:trHeight w:val="510" w:hRule="exact"/>
          <w:jc w:val="center"/>
        </w:trPr>
        <w:tc>
          <w:tcPr>
            <w:tcW w:w="2292" w:type="dxa"/>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信息内容</w:t>
            </w:r>
          </w:p>
        </w:tc>
        <w:tc>
          <w:tcPr>
            <w:tcW w:w="5848" w:type="dxa"/>
            <w:gridSpan w:val="3"/>
            <w:tcBorders>
              <w:top w:val="single" w:color="auto" w:sz="8"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cs="宋体" w:asciiTheme="minorEastAsia" w:hAnsiTheme="minorEastAsia" w:eastAsiaTheme="minorEastAsia"/>
                <w:color w:val="000000"/>
                <w:kern w:val="0"/>
                <w:sz w:val="20"/>
                <w:szCs w:val="20"/>
              </w:rPr>
              <w:t>本年度处理决定数量</w:t>
            </w:r>
          </w:p>
        </w:tc>
      </w:tr>
      <w:tr>
        <w:tblPrEx>
          <w:tblCellMar>
            <w:top w:w="0" w:type="dxa"/>
            <w:left w:w="0" w:type="dxa"/>
            <w:bottom w:w="0" w:type="dxa"/>
            <w:right w:w="0" w:type="dxa"/>
          </w:tblCellMar>
        </w:tblPrEx>
        <w:trPr>
          <w:trHeight w:val="510" w:hRule="exact"/>
          <w:jc w:val="center"/>
        </w:trPr>
        <w:tc>
          <w:tcPr>
            <w:tcW w:w="2292" w:type="dxa"/>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行政处罚</w:t>
            </w:r>
          </w:p>
        </w:tc>
        <w:tc>
          <w:tcPr>
            <w:tcW w:w="5848" w:type="dxa"/>
            <w:gridSpan w:val="3"/>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0</w:t>
            </w:r>
          </w:p>
        </w:tc>
      </w:tr>
      <w:tr>
        <w:tblPrEx>
          <w:tblCellMar>
            <w:top w:w="0" w:type="dxa"/>
            <w:left w:w="0" w:type="dxa"/>
            <w:bottom w:w="0" w:type="dxa"/>
            <w:right w:w="0" w:type="dxa"/>
          </w:tblCellMar>
        </w:tblPrEx>
        <w:trPr>
          <w:trHeight w:val="510" w:hRule="exact"/>
          <w:jc w:val="center"/>
        </w:trPr>
        <w:tc>
          <w:tcPr>
            <w:tcW w:w="2292" w:type="dxa"/>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行政强制</w:t>
            </w:r>
          </w:p>
        </w:tc>
        <w:tc>
          <w:tcPr>
            <w:tcW w:w="5848" w:type="dxa"/>
            <w:gridSpan w:val="3"/>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0</w:t>
            </w:r>
          </w:p>
        </w:tc>
      </w:tr>
      <w:tr>
        <w:tblPrEx>
          <w:tblCellMar>
            <w:top w:w="0" w:type="dxa"/>
            <w:left w:w="0" w:type="dxa"/>
            <w:bottom w:w="0" w:type="dxa"/>
            <w:right w:w="0" w:type="dxa"/>
          </w:tblCellMar>
        </w:tblPrEx>
        <w:trPr>
          <w:trHeight w:val="510" w:hRule="exact"/>
          <w:jc w:val="center"/>
        </w:trPr>
        <w:tc>
          <w:tcPr>
            <w:tcW w:w="8140" w:type="dxa"/>
            <w:gridSpan w:val="4"/>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第二十条第（八）项</w:t>
            </w:r>
          </w:p>
        </w:tc>
      </w:tr>
      <w:tr>
        <w:tblPrEx>
          <w:tblCellMar>
            <w:top w:w="0" w:type="dxa"/>
            <w:left w:w="0" w:type="dxa"/>
            <w:bottom w:w="0" w:type="dxa"/>
            <w:right w:w="0" w:type="dxa"/>
          </w:tblCellMar>
        </w:tblPrEx>
        <w:trPr>
          <w:trHeight w:val="510" w:hRule="exact"/>
          <w:jc w:val="center"/>
        </w:trPr>
        <w:tc>
          <w:tcPr>
            <w:tcW w:w="2292" w:type="dxa"/>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信息内容</w:t>
            </w:r>
          </w:p>
        </w:tc>
        <w:tc>
          <w:tcPr>
            <w:tcW w:w="5848" w:type="dxa"/>
            <w:gridSpan w:val="3"/>
            <w:tcBorders>
              <w:top w:val="nil"/>
              <w:left w:val="nil"/>
              <w:bottom w:val="single" w:color="auto" w:sz="8" w:space="0"/>
              <w:right w:val="single" w:color="000000"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本年收费金额（单位：万元）</w:t>
            </w:r>
          </w:p>
        </w:tc>
      </w:tr>
      <w:tr>
        <w:tblPrEx>
          <w:tblCellMar>
            <w:top w:w="0" w:type="dxa"/>
            <w:left w:w="0" w:type="dxa"/>
            <w:bottom w:w="0" w:type="dxa"/>
            <w:right w:w="0" w:type="dxa"/>
          </w:tblCellMar>
        </w:tblPrEx>
        <w:trPr>
          <w:trHeight w:val="510" w:hRule="exact"/>
          <w:jc w:val="center"/>
        </w:trPr>
        <w:tc>
          <w:tcPr>
            <w:tcW w:w="2292" w:type="dxa"/>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Theme="minorEastAsia" w:hAnsiTheme="minorEastAsia" w:eastAsiaTheme="minorEastAsia"/>
                <w:color w:val="000000"/>
                <w:sz w:val="33"/>
                <w:szCs w:val="33"/>
              </w:rPr>
            </w:pPr>
            <w:r>
              <w:rPr>
                <w:rFonts w:hint="eastAsia" w:cs="宋体" w:asciiTheme="minorEastAsia" w:hAnsiTheme="minorEastAsia" w:eastAsiaTheme="minorEastAsia"/>
                <w:color w:val="000000"/>
                <w:kern w:val="0"/>
                <w:sz w:val="20"/>
                <w:szCs w:val="20"/>
              </w:rPr>
              <w:t>行政事业性收费</w:t>
            </w:r>
          </w:p>
        </w:tc>
        <w:tc>
          <w:tcPr>
            <w:tcW w:w="5848" w:type="dxa"/>
            <w:gridSpan w:val="3"/>
            <w:tcBorders>
              <w:top w:val="nil"/>
              <w:left w:val="nil"/>
              <w:bottom w:val="single" w:color="auto" w:sz="8" w:space="0"/>
              <w:right w:val="single" w:color="000000"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w:t>
            </w:r>
          </w:p>
        </w:tc>
      </w:tr>
      <w:bookmarkEnd w:id="2"/>
    </w:tbl>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420" w:firstLineChars="200"/>
        <w:jc w:val="both"/>
        <w:textAlignment w:val="auto"/>
        <w:rPr>
          <w:rFonts w:ascii="黑体" w:hAnsi="黑体" w:eastAsia="黑体" w:cs="宋体"/>
          <w:color w:val="000000"/>
          <w:sz w:val="32"/>
          <w:szCs w:val="32"/>
          <w:shd w:val="clear" w:color="auto" w:fill="FFFFFF"/>
        </w:rPr>
      </w:pPr>
      <w:r>
        <w:rPr>
          <w:rFonts w:hint="eastAsia"/>
          <w:sz w:val="21"/>
          <w:szCs w:val="21"/>
        </w:rPr>
        <w:t>备注：行政处罚和行政强制数量，包括已公开和依法未公开的全部处理决定。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jc w:val="both"/>
        <w:textAlignment w:val="auto"/>
        <w:rPr>
          <w:rFonts w:ascii="黑体" w:hAnsi="黑体" w:eastAsia="黑体" w:cs="宋体"/>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640" w:firstLineChars="200"/>
        <w:jc w:val="both"/>
        <w:textAlignment w:val="auto"/>
        <w:rPr>
          <w:rFonts w:ascii="黑体" w:hAnsi="黑体" w:eastAsia="黑体" w:cs="宋体"/>
          <w:color w:val="000000"/>
          <w:sz w:val="32"/>
          <w:szCs w:val="32"/>
          <w:shd w:val="clear" w:color="auto" w:fill="FFFFFF"/>
        </w:rPr>
      </w:pPr>
      <w:r>
        <w:rPr>
          <w:rFonts w:hint="eastAsia" w:ascii="黑体" w:hAnsi="黑体" w:eastAsia="黑体" w:cs="宋体"/>
          <w:color w:val="000000"/>
          <w:sz w:val="32"/>
          <w:szCs w:val="32"/>
          <w:shd w:val="clear" w:color="auto" w:fill="FFFFFF"/>
        </w:rPr>
        <w:t>三、收到和处理政府信息公开申请情况 </w:t>
      </w:r>
    </w:p>
    <w:tbl>
      <w:tblPr>
        <w:tblStyle w:val="5"/>
        <w:tblpPr w:leftFromText="180" w:rightFromText="180" w:vertAnchor="text" w:horzAnchor="page" w:tblpX="1480" w:tblpY="362"/>
        <w:tblOverlap w:val="never"/>
        <w:tblW w:w="9247" w:type="dxa"/>
        <w:tblInd w:w="0" w:type="dxa"/>
        <w:shd w:val="clear" w:color="auto" w:fill="FFFFFF" w:themeFill="background1"/>
        <w:tblLayout w:type="fixed"/>
        <w:tblCellMar>
          <w:top w:w="0" w:type="dxa"/>
          <w:left w:w="0" w:type="dxa"/>
          <w:bottom w:w="0" w:type="dxa"/>
          <w:right w:w="0" w:type="dxa"/>
        </w:tblCellMar>
      </w:tblPr>
      <w:tblGrid>
        <w:gridCol w:w="534"/>
        <w:gridCol w:w="850"/>
        <w:gridCol w:w="2921"/>
        <w:gridCol w:w="474"/>
        <w:gridCol w:w="629"/>
        <w:gridCol w:w="694"/>
        <w:gridCol w:w="693"/>
        <w:gridCol w:w="1046"/>
        <w:gridCol w:w="711"/>
        <w:gridCol w:w="695"/>
      </w:tblGrid>
      <w:tr>
        <w:tblPrEx>
          <w:shd w:val="clear" w:color="auto" w:fill="FFFFFF" w:themeFill="background1"/>
          <w:tblCellMar>
            <w:top w:w="0" w:type="dxa"/>
            <w:left w:w="0" w:type="dxa"/>
            <w:bottom w:w="0" w:type="dxa"/>
            <w:right w:w="0" w:type="dxa"/>
          </w:tblCellMar>
        </w:tblPrEx>
        <w:trPr>
          <w:trHeight w:val="443" w:hRule="exact"/>
        </w:trPr>
        <w:tc>
          <w:tcPr>
            <w:tcW w:w="4305" w:type="dxa"/>
            <w:gridSpan w:val="3"/>
            <w:vMerge w:val="restart"/>
            <w:tcBorders>
              <w:top w:val="single" w:color="auto" w:sz="8" w:space="0"/>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color w:val="000000"/>
                <w:sz w:val="33"/>
                <w:szCs w:val="33"/>
              </w:rPr>
            </w:pPr>
            <w:r>
              <w:rPr>
                <w:rFonts w:hint="eastAsia" w:ascii="宋体" w:hAnsi="宋体" w:cs="宋体"/>
                <w:color w:val="000000"/>
                <w:kern w:val="0"/>
                <w:sz w:val="20"/>
                <w:szCs w:val="20"/>
              </w:rPr>
              <w:t>（本列数据的勾稽关系为：第一项加第二项之和，等于第三项加第四项之和）</w:t>
            </w:r>
          </w:p>
        </w:tc>
        <w:tc>
          <w:tcPr>
            <w:tcW w:w="4942" w:type="dxa"/>
            <w:gridSpan w:val="7"/>
            <w:tcBorders>
              <w:top w:val="single" w:color="auto" w:sz="8"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color w:val="000000"/>
                <w:sz w:val="33"/>
                <w:szCs w:val="33"/>
              </w:rPr>
            </w:pPr>
            <w:r>
              <w:rPr>
                <w:rFonts w:hint="eastAsia" w:ascii="宋体" w:hAnsi="宋体" w:cs="宋体"/>
                <w:color w:val="000000"/>
                <w:kern w:val="0"/>
                <w:sz w:val="20"/>
                <w:szCs w:val="20"/>
              </w:rPr>
              <w:t>申请人情况</w:t>
            </w:r>
          </w:p>
        </w:tc>
      </w:tr>
      <w:tr>
        <w:tblPrEx>
          <w:shd w:val="clear" w:color="auto" w:fill="FFFFFF" w:themeFill="background1"/>
          <w:tblCellMar>
            <w:top w:w="0" w:type="dxa"/>
            <w:left w:w="0" w:type="dxa"/>
            <w:bottom w:w="0" w:type="dxa"/>
            <w:right w:w="0" w:type="dxa"/>
          </w:tblCellMar>
        </w:tblPrEx>
        <w:trPr>
          <w:trHeight w:val="421" w:hRule="exact"/>
        </w:trPr>
        <w:tc>
          <w:tcPr>
            <w:tcW w:w="4305" w:type="dxa"/>
            <w:gridSpan w:val="3"/>
            <w:vMerge w:val="continue"/>
            <w:tcBorders>
              <w:top w:val="single" w:color="auto" w:sz="8" w:space="0"/>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color w:val="000000"/>
                <w:sz w:val="33"/>
                <w:szCs w:val="33"/>
              </w:rPr>
            </w:pPr>
          </w:p>
        </w:tc>
        <w:tc>
          <w:tcPr>
            <w:tcW w:w="474" w:type="dxa"/>
            <w:vMerge w:val="restart"/>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color w:val="000000"/>
                <w:sz w:val="33"/>
                <w:szCs w:val="33"/>
              </w:rPr>
            </w:pPr>
            <w:r>
              <w:rPr>
                <w:rFonts w:hint="eastAsia" w:ascii="宋体" w:hAnsi="宋体" w:cs="宋体"/>
                <w:color w:val="000000"/>
                <w:kern w:val="0"/>
                <w:sz w:val="20"/>
                <w:szCs w:val="20"/>
              </w:rPr>
              <w:t>自然人</w:t>
            </w:r>
          </w:p>
        </w:tc>
        <w:tc>
          <w:tcPr>
            <w:tcW w:w="3773" w:type="dxa"/>
            <w:gridSpan w:val="5"/>
            <w:tcBorders>
              <w:top w:val="single" w:color="auto" w:sz="8"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color w:val="000000"/>
                <w:sz w:val="33"/>
                <w:szCs w:val="33"/>
              </w:rPr>
            </w:pPr>
            <w:r>
              <w:rPr>
                <w:rFonts w:hint="eastAsia" w:ascii="宋体" w:hAnsi="宋体" w:cs="宋体"/>
                <w:color w:val="000000"/>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color w:val="000000"/>
                <w:sz w:val="33"/>
                <w:szCs w:val="33"/>
              </w:rPr>
            </w:pPr>
            <w:r>
              <w:rPr>
                <w:rFonts w:hint="eastAsia" w:ascii="宋体" w:hAnsi="宋体" w:cs="宋体"/>
                <w:color w:val="000000"/>
                <w:kern w:val="0"/>
                <w:sz w:val="20"/>
                <w:szCs w:val="20"/>
              </w:rPr>
              <w:t>总计</w:t>
            </w:r>
          </w:p>
        </w:tc>
      </w:tr>
      <w:tr>
        <w:tblPrEx>
          <w:shd w:val="clear" w:color="auto" w:fill="FFFFFF" w:themeFill="background1"/>
          <w:tblCellMar>
            <w:top w:w="0" w:type="dxa"/>
            <w:left w:w="0" w:type="dxa"/>
            <w:bottom w:w="0" w:type="dxa"/>
            <w:right w:w="0" w:type="dxa"/>
          </w:tblCellMar>
        </w:tblPrEx>
        <w:trPr>
          <w:trHeight w:val="1001" w:hRule="exact"/>
        </w:trPr>
        <w:tc>
          <w:tcPr>
            <w:tcW w:w="4305" w:type="dxa"/>
            <w:gridSpan w:val="3"/>
            <w:vMerge w:val="continue"/>
            <w:tcBorders>
              <w:top w:val="single" w:color="auto" w:sz="8" w:space="0"/>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color w:val="000000"/>
                <w:sz w:val="33"/>
                <w:szCs w:val="33"/>
              </w:rPr>
            </w:pPr>
          </w:p>
        </w:tc>
        <w:tc>
          <w:tcPr>
            <w:tcW w:w="474" w:type="dxa"/>
            <w:vMerge w:val="continue"/>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color w:val="000000"/>
                <w:sz w:val="33"/>
                <w:szCs w:val="33"/>
              </w:rPr>
            </w:pP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color w:val="000000"/>
                <w:sz w:val="33"/>
                <w:szCs w:val="33"/>
              </w:rPr>
            </w:pPr>
            <w:r>
              <w:rPr>
                <w:rFonts w:hint="eastAsia" w:ascii="宋体" w:hAnsi="宋体" w:cs="宋体"/>
                <w:color w:val="000000"/>
                <w:kern w:val="0"/>
                <w:sz w:val="20"/>
                <w:szCs w:val="20"/>
              </w:rPr>
              <w:t>商业企业</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color w:val="000000"/>
                <w:sz w:val="33"/>
                <w:szCs w:val="33"/>
              </w:rPr>
            </w:pPr>
            <w:r>
              <w:rPr>
                <w:rFonts w:hint="eastAsia" w:ascii="宋体" w:hAnsi="宋体" w:cs="宋体"/>
                <w:color w:val="000000"/>
                <w:kern w:val="0"/>
                <w:sz w:val="20"/>
                <w:szCs w:val="20"/>
              </w:rPr>
              <w:t>科研机构</w:t>
            </w:r>
          </w:p>
        </w:tc>
        <w:tc>
          <w:tcPr>
            <w:tcW w:w="693" w:type="dxa"/>
            <w:tcBorders>
              <w:top w:val="single" w:color="auto" w:sz="8"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color w:val="000000"/>
                <w:sz w:val="33"/>
                <w:szCs w:val="33"/>
              </w:rPr>
            </w:pPr>
            <w:r>
              <w:rPr>
                <w:rFonts w:hint="eastAsia" w:ascii="宋体" w:hAnsi="宋体" w:cs="宋体"/>
                <w:color w:val="000000"/>
                <w:kern w:val="0"/>
                <w:sz w:val="20"/>
                <w:szCs w:val="20"/>
              </w:rPr>
              <w:t>社会公益组织</w:t>
            </w:r>
          </w:p>
        </w:tc>
        <w:tc>
          <w:tcPr>
            <w:tcW w:w="1046" w:type="dxa"/>
            <w:tcBorders>
              <w:top w:val="single" w:color="auto" w:sz="8"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color w:val="000000"/>
                <w:sz w:val="33"/>
                <w:szCs w:val="33"/>
              </w:rPr>
            </w:pPr>
            <w:r>
              <w:rPr>
                <w:rFonts w:hint="eastAsia" w:ascii="宋体" w:hAnsi="宋体" w:cs="宋体"/>
                <w:color w:val="000000"/>
                <w:kern w:val="0"/>
                <w:sz w:val="20"/>
                <w:szCs w:val="20"/>
              </w:rPr>
              <w:t>法律服务机构</w:t>
            </w:r>
          </w:p>
        </w:tc>
        <w:tc>
          <w:tcPr>
            <w:tcW w:w="711" w:type="dxa"/>
            <w:tcBorders>
              <w:top w:val="single" w:color="auto" w:sz="8"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color w:val="000000"/>
                <w:sz w:val="33"/>
                <w:szCs w:val="33"/>
              </w:rPr>
            </w:pPr>
            <w:r>
              <w:rPr>
                <w:rFonts w:hint="eastAsia" w:ascii="宋体" w:hAnsi="宋体" w:cs="宋体"/>
                <w:color w:val="000000"/>
                <w:kern w:val="0"/>
                <w:sz w:val="20"/>
                <w:szCs w:val="20"/>
              </w:rPr>
              <w:t>其他</w:t>
            </w:r>
          </w:p>
        </w:tc>
        <w:tc>
          <w:tcPr>
            <w:tcW w:w="695" w:type="dxa"/>
            <w:vMerge w:val="continue"/>
            <w:tcBorders>
              <w:top w:val="single" w:color="auto" w:sz="8"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color w:val="000000"/>
                <w:sz w:val="33"/>
                <w:szCs w:val="33"/>
              </w:rPr>
            </w:pPr>
          </w:p>
        </w:tc>
      </w:tr>
      <w:tr>
        <w:tblPrEx>
          <w:shd w:val="clear" w:color="auto" w:fill="FFFFFF" w:themeFill="background1"/>
          <w:tblCellMar>
            <w:top w:w="0" w:type="dxa"/>
            <w:left w:w="0" w:type="dxa"/>
            <w:bottom w:w="0" w:type="dxa"/>
            <w:right w:w="0" w:type="dxa"/>
          </w:tblCellMar>
        </w:tblPrEx>
        <w:trPr>
          <w:trHeight w:val="435" w:hRule="exact"/>
        </w:trPr>
        <w:tc>
          <w:tcPr>
            <w:tcW w:w="4305" w:type="dxa"/>
            <w:gridSpan w:val="3"/>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宋体"/>
                <w:color w:val="000000"/>
                <w:kern w:val="0"/>
                <w:sz w:val="20"/>
                <w:szCs w:val="20"/>
              </w:rPr>
              <w:t>一、本年新收政府信息公开申请数量</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1</w:t>
            </w:r>
            <w:r>
              <w:rPr>
                <w:rFonts w:ascii="宋体" w:hAnsi="宋体" w:cs="Calibri"/>
                <w:color w:val="000000"/>
                <w:kern w:val="0"/>
                <w:sz w:val="20"/>
                <w:szCs w:val="20"/>
              </w:rPr>
              <w:t> </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1</w:t>
            </w:r>
          </w:p>
        </w:tc>
      </w:tr>
      <w:tr>
        <w:tblPrEx>
          <w:shd w:val="clear" w:color="auto" w:fill="FFFFFF" w:themeFill="background1"/>
          <w:tblCellMar>
            <w:top w:w="0" w:type="dxa"/>
            <w:left w:w="0" w:type="dxa"/>
            <w:bottom w:w="0" w:type="dxa"/>
            <w:right w:w="0" w:type="dxa"/>
          </w:tblCellMar>
        </w:tblPrEx>
        <w:trPr>
          <w:trHeight w:val="418" w:hRule="exact"/>
        </w:trPr>
        <w:tc>
          <w:tcPr>
            <w:tcW w:w="4305" w:type="dxa"/>
            <w:gridSpan w:val="3"/>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宋体"/>
                <w:color w:val="000000"/>
                <w:kern w:val="0"/>
                <w:sz w:val="20"/>
                <w:szCs w:val="20"/>
              </w:rPr>
              <w:t>二、上年结转政府信息公开申请数量</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418" w:hRule="exact"/>
        </w:trPr>
        <w:tc>
          <w:tcPr>
            <w:tcW w:w="534" w:type="dxa"/>
            <w:vMerge w:val="restart"/>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三</w:t>
            </w:r>
          </w:p>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w:t>
            </w:r>
          </w:p>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宋体"/>
                <w:color w:val="000000"/>
                <w:kern w:val="0"/>
                <w:sz w:val="20"/>
                <w:szCs w:val="20"/>
              </w:rPr>
              <w:t>本年度办理结果</w:t>
            </w:r>
          </w:p>
        </w:tc>
        <w:tc>
          <w:tcPr>
            <w:tcW w:w="3771" w:type="dxa"/>
            <w:gridSpan w:val="2"/>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（一）予以公开</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single" w:color="auto" w:sz="8"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565"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3771" w:type="dxa"/>
            <w:gridSpan w:val="2"/>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（二）部分公开（区分处理的，只计这一情形，不计其他情形）</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403"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restart"/>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（三）不予</w:t>
            </w:r>
          </w:p>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公开</w:t>
            </w: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1.属于国家秘密</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single" w:color="auto" w:sz="8"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606"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continue"/>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2.其他法律行政法规禁止公开</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510"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continue"/>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3.危及“三安全一稳定”</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1</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1</w:t>
            </w:r>
          </w:p>
        </w:tc>
      </w:tr>
      <w:tr>
        <w:tblPrEx>
          <w:shd w:val="clear" w:color="auto" w:fill="FFFFFF" w:themeFill="background1"/>
          <w:tblCellMar>
            <w:top w:w="0" w:type="dxa"/>
            <w:left w:w="0" w:type="dxa"/>
            <w:bottom w:w="0" w:type="dxa"/>
            <w:right w:w="0" w:type="dxa"/>
          </w:tblCellMar>
        </w:tblPrEx>
        <w:trPr>
          <w:trHeight w:val="510"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continue"/>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4.保护第三方合法权益</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510"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continue"/>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5.属于三类内部事务信息</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510"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continue"/>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6.属于四类过程性信息</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336"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continue"/>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7.属于行政执法案卷</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510"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continue"/>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8.属于行政查询事项</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450"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restart"/>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（四）无法</w:t>
            </w:r>
          </w:p>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提供</w:t>
            </w: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1.本机关不掌握相关政府信息</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510" w:hRule="exact"/>
        </w:trPr>
        <w:tc>
          <w:tcPr>
            <w:tcW w:w="534" w:type="dxa"/>
            <w:vMerge w:val="continue"/>
            <w:tcBorders>
              <w:top w:val="nil"/>
              <w:left w:val="single" w:color="auto" w:sz="8" w:space="0"/>
              <w:bottom w:val="single" w:color="auto" w:sz="4"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continue"/>
            <w:tcBorders>
              <w:top w:val="nil"/>
              <w:left w:val="nil"/>
              <w:bottom w:val="single" w:color="auto" w:sz="4"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2921" w:type="dxa"/>
            <w:tcBorders>
              <w:top w:val="nil"/>
              <w:left w:val="nil"/>
              <w:bottom w:val="single" w:color="auto" w:sz="4"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2.没有现成信息需要另行制作</w:t>
            </w:r>
          </w:p>
        </w:tc>
        <w:tc>
          <w:tcPr>
            <w:tcW w:w="474" w:type="dxa"/>
            <w:tcBorders>
              <w:top w:val="nil"/>
              <w:left w:val="nil"/>
              <w:bottom w:val="single" w:color="auto" w:sz="4"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4"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4"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4"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4"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4"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4"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450" w:hRule="exact"/>
        </w:trPr>
        <w:tc>
          <w:tcPr>
            <w:tcW w:w="534" w:type="dxa"/>
            <w:vMerge w:val="continue"/>
            <w:tcBorders>
              <w:top w:val="single" w:color="auto" w:sz="4" w:space="0"/>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continue"/>
            <w:tcBorders>
              <w:top w:val="single" w:color="auto" w:sz="4"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2921" w:type="dxa"/>
            <w:tcBorders>
              <w:top w:val="single" w:color="auto" w:sz="4"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3.补正后申请内容仍不明确</w:t>
            </w:r>
          </w:p>
        </w:tc>
        <w:tc>
          <w:tcPr>
            <w:tcW w:w="474" w:type="dxa"/>
            <w:tcBorders>
              <w:top w:val="single" w:color="auto" w:sz="4"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single" w:color="auto" w:sz="4"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single" w:color="auto" w:sz="4"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single" w:color="auto" w:sz="4"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single" w:color="auto" w:sz="4"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single" w:color="auto" w:sz="4"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single" w:color="auto" w:sz="4" w:space="0"/>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371"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restart"/>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（五）不予</w:t>
            </w:r>
          </w:p>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处理</w:t>
            </w: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1.信访举报投诉类申请</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434"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continue"/>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2.重复申请</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426"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continue"/>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3.要求提供公开出版物</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432"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continue"/>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4.无正当理由大量反复申请</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679"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850" w:type="dxa"/>
            <w:vMerge w:val="continue"/>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292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5.要求行政机关确认或重新出具已获取信息</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shd w:val="clear" w:color="auto" w:fill="FFFFFF" w:themeFill="background1"/>
          <w:tblCellMar>
            <w:top w:w="0" w:type="dxa"/>
            <w:left w:w="0" w:type="dxa"/>
            <w:bottom w:w="0" w:type="dxa"/>
            <w:right w:w="0" w:type="dxa"/>
          </w:tblCellMar>
        </w:tblPrEx>
        <w:trPr>
          <w:trHeight w:val="396"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3771" w:type="dxa"/>
            <w:gridSpan w:val="2"/>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（六）其他处理</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r>
        <w:tblPrEx>
          <w:tblCellMar>
            <w:top w:w="0" w:type="dxa"/>
            <w:left w:w="0" w:type="dxa"/>
            <w:bottom w:w="0" w:type="dxa"/>
            <w:right w:w="0" w:type="dxa"/>
          </w:tblCellMar>
        </w:tblPrEx>
        <w:trPr>
          <w:trHeight w:val="339" w:hRule="exact"/>
        </w:trPr>
        <w:tc>
          <w:tcPr>
            <w:tcW w:w="534" w:type="dxa"/>
            <w:vMerge w:val="continue"/>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20" w:lineRule="auto"/>
              <w:textAlignment w:val="auto"/>
              <w:rPr>
                <w:rFonts w:ascii="宋体" w:hAnsi="宋体"/>
                <w:color w:val="000000"/>
                <w:sz w:val="33"/>
                <w:szCs w:val="33"/>
              </w:rPr>
            </w:pPr>
          </w:p>
        </w:tc>
        <w:tc>
          <w:tcPr>
            <w:tcW w:w="3771" w:type="dxa"/>
            <w:gridSpan w:val="2"/>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楷体"/>
                <w:color w:val="000000"/>
                <w:kern w:val="0"/>
                <w:sz w:val="20"/>
                <w:szCs w:val="20"/>
              </w:rPr>
              <w:t>（七）总计</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1</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1</w:t>
            </w:r>
          </w:p>
        </w:tc>
      </w:tr>
      <w:tr>
        <w:tblPrEx>
          <w:tblCellMar>
            <w:top w:w="0" w:type="dxa"/>
            <w:left w:w="0" w:type="dxa"/>
            <w:bottom w:w="0" w:type="dxa"/>
            <w:right w:w="0" w:type="dxa"/>
          </w:tblCellMar>
        </w:tblPrEx>
        <w:trPr>
          <w:trHeight w:val="510" w:hRule="exact"/>
        </w:trPr>
        <w:tc>
          <w:tcPr>
            <w:tcW w:w="4305" w:type="dxa"/>
            <w:gridSpan w:val="3"/>
            <w:tcBorders>
              <w:top w:val="nil"/>
              <w:left w:val="single" w:color="auto" w:sz="8" w:space="0"/>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olor w:val="000000"/>
                <w:sz w:val="33"/>
                <w:szCs w:val="33"/>
              </w:rPr>
            </w:pPr>
            <w:r>
              <w:rPr>
                <w:rFonts w:hint="eastAsia" w:ascii="宋体" w:hAnsi="宋体" w:cs="宋体"/>
                <w:color w:val="000000"/>
                <w:kern w:val="0"/>
                <w:sz w:val="20"/>
                <w:szCs w:val="20"/>
              </w:rPr>
              <w:t>四、结转下年度继续办理</w:t>
            </w:r>
          </w:p>
        </w:tc>
        <w:tc>
          <w:tcPr>
            <w:tcW w:w="47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29"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4"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1046"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711"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c>
          <w:tcPr>
            <w:tcW w:w="695" w:type="dxa"/>
            <w:tcBorders>
              <w:top w:val="nil"/>
              <w:left w:val="nil"/>
              <w:bottom w:val="single" w:color="auto" w:sz="8" w:space="0"/>
              <w:right w:val="single" w:color="auto" w:sz="8" w:space="0"/>
            </w:tcBorders>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olor w:val="000000"/>
                <w:sz w:val="33"/>
                <w:szCs w:val="33"/>
              </w:rPr>
            </w:pPr>
            <w:r>
              <w:rPr>
                <w:rFonts w:hint="eastAsia" w:ascii="宋体" w:hAnsi="宋体" w:cs="Calibri"/>
                <w:color w:val="000000"/>
                <w:kern w:val="0"/>
                <w:sz w:val="20"/>
                <w:szCs w:val="20"/>
              </w:rPr>
              <w:t>0</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640" w:firstLineChars="200"/>
        <w:jc w:val="both"/>
        <w:textAlignment w:val="auto"/>
        <w:rPr>
          <w:rFonts w:ascii="黑体" w:hAnsi="黑体" w:eastAsia="黑体" w:cs="宋体"/>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640" w:firstLineChars="200"/>
        <w:jc w:val="both"/>
        <w:textAlignment w:val="auto"/>
        <w:rPr>
          <w:rFonts w:ascii="黑体" w:hAnsi="黑体" w:eastAsia="黑体" w:cs="宋体"/>
          <w:color w:val="000000"/>
          <w:sz w:val="32"/>
          <w:szCs w:val="32"/>
          <w:shd w:val="clear" w:color="auto" w:fill="FFFFFF"/>
        </w:rPr>
      </w:pPr>
      <w:r>
        <w:rPr>
          <w:rFonts w:hint="eastAsia" w:ascii="黑体" w:hAnsi="黑体" w:eastAsia="黑体" w:cs="宋体"/>
          <w:color w:val="000000"/>
          <w:sz w:val="32"/>
          <w:szCs w:val="32"/>
          <w:shd w:val="clear" w:color="auto" w:fill="FFFFFF"/>
        </w:rPr>
        <w:t>四、政府信息公开行政复议、行政诉讼情况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577" w:hRule="atLeast"/>
          <w:jc w:val="center"/>
        </w:trPr>
        <w:tc>
          <w:tcPr>
            <w:tcW w:w="3074" w:type="dxa"/>
            <w:gridSpan w:val="5"/>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
                <w:color w:val="000000"/>
                <w:kern w:val="0"/>
                <w:sz w:val="20"/>
                <w:szCs w:val="20"/>
              </w:rPr>
            </w:pPr>
            <w:r>
              <w:rPr>
                <w:rFonts w:hint="eastAsia" w:ascii="宋体" w:hAnsi="宋体" w:cs="楷体"/>
                <w:color w:val="000000"/>
                <w:kern w:val="0"/>
                <w:sz w:val="20"/>
                <w:szCs w:val="20"/>
              </w:rPr>
              <w:t>行政复议</w:t>
            </w:r>
          </w:p>
        </w:tc>
        <w:tc>
          <w:tcPr>
            <w:tcW w:w="5997" w:type="dxa"/>
            <w:gridSpan w:val="10"/>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
                <w:color w:val="000000"/>
                <w:kern w:val="0"/>
                <w:sz w:val="20"/>
                <w:szCs w:val="20"/>
              </w:rPr>
            </w:pPr>
            <w:r>
              <w:rPr>
                <w:rFonts w:hint="eastAsia" w:ascii="宋体" w:hAnsi="宋体" w:cs="楷体"/>
                <w:color w:val="000000"/>
                <w:kern w:val="0"/>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604" w:type="dxa"/>
            <w:vMerge w:val="restart"/>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结果维持</w:t>
            </w:r>
          </w:p>
        </w:tc>
        <w:tc>
          <w:tcPr>
            <w:tcW w:w="604" w:type="dxa"/>
            <w:vMerge w:val="restart"/>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结果纠正</w:t>
            </w:r>
          </w:p>
        </w:tc>
        <w:tc>
          <w:tcPr>
            <w:tcW w:w="604" w:type="dxa"/>
            <w:vMerge w:val="restart"/>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其他结果</w:t>
            </w:r>
          </w:p>
        </w:tc>
        <w:tc>
          <w:tcPr>
            <w:tcW w:w="604" w:type="dxa"/>
            <w:vMerge w:val="restart"/>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尚未审结</w:t>
            </w:r>
          </w:p>
        </w:tc>
        <w:tc>
          <w:tcPr>
            <w:tcW w:w="658" w:type="dxa"/>
            <w:vMerge w:val="restart"/>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总计</w:t>
            </w:r>
          </w:p>
        </w:tc>
        <w:tc>
          <w:tcPr>
            <w:tcW w:w="2970" w:type="dxa"/>
            <w:gridSpan w:val="5"/>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
                <w:color w:val="000000"/>
                <w:kern w:val="0"/>
                <w:sz w:val="20"/>
                <w:szCs w:val="20"/>
              </w:rPr>
            </w:pPr>
            <w:r>
              <w:rPr>
                <w:rFonts w:hint="eastAsia" w:ascii="宋体" w:hAnsi="宋体" w:cs="楷体"/>
                <w:color w:val="000000"/>
                <w:kern w:val="0"/>
                <w:sz w:val="20"/>
                <w:szCs w:val="20"/>
              </w:rPr>
              <w:t>未经复议直接起诉</w:t>
            </w:r>
          </w:p>
        </w:tc>
        <w:tc>
          <w:tcPr>
            <w:tcW w:w="3027" w:type="dxa"/>
            <w:gridSpan w:val="5"/>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
                <w:color w:val="000000"/>
                <w:kern w:val="0"/>
                <w:sz w:val="20"/>
                <w:szCs w:val="20"/>
              </w:rPr>
            </w:pPr>
            <w:r>
              <w:rPr>
                <w:rFonts w:hint="eastAsia" w:ascii="宋体" w:hAnsi="宋体" w:cs="楷体"/>
                <w:color w:val="000000"/>
                <w:kern w:val="0"/>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vMerge w:val="continue"/>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p>
        </w:tc>
        <w:tc>
          <w:tcPr>
            <w:tcW w:w="604" w:type="dxa"/>
            <w:vMerge w:val="continue"/>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p>
        </w:tc>
        <w:tc>
          <w:tcPr>
            <w:tcW w:w="604" w:type="dxa"/>
            <w:vMerge w:val="continue"/>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p>
        </w:tc>
        <w:tc>
          <w:tcPr>
            <w:tcW w:w="604" w:type="dxa"/>
            <w:vMerge w:val="continue"/>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p>
        </w:tc>
        <w:tc>
          <w:tcPr>
            <w:tcW w:w="658" w:type="dxa"/>
            <w:vMerge w:val="continue"/>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p>
        </w:tc>
        <w:tc>
          <w:tcPr>
            <w:tcW w:w="550"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结果维持</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结果纠正</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其他结果</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尚未审结</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总计</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结果维持</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结果纠正</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其他结果</w:t>
            </w:r>
          </w:p>
        </w:tc>
        <w:tc>
          <w:tcPr>
            <w:tcW w:w="606"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尚未审结</w:t>
            </w:r>
          </w:p>
        </w:tc>
        <w:tc>
          <w:tcPr>
            <w:tcW w:w="606"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left"/>
              <w:textAlignment w:val="auto"/>
              <w:rPr>
                <w:rFonts w:ascii="宋体" w:hAnsi="宋体" w:cs="楷体"/>
                <w:color w:val="000000"/>
                <w:kern w:val="0"/>
                <w:sz w:val="20"/>
                <w:szCs w:val="20"/>
              </w:rPr>
            </w:pPr>
            <w:r>
              <w:rPr>
                <w:rFonts w:hint="eastAsia" w:ascii="宋体" w:hAnsi="宋体" w:cs="楷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604"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w:t>
            </w:r>
          </w:p>
        </w:tc>
        <w:tc>
          <w:tcPr>
            <w:tcW w:w="604"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0 </w:t>
            </w:r>
          </w:p>
        </w:tc>
        <w:tc>
          <w:tcPr>
            <w:tcW w:w="604"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0 </w:t>
            </w:r>
          </w:p>
        </w:tc>
        <w:tc>
          <w:tcPr>
            <w:tcW w:w="604"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0 </w:t>
            </w:r>
          </w:p>
        </w:tc>
        <w:tc>
          <w:tcPr>
            <w:tcW w:w="658"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w:t>
            </w:r>
          </w:p>
        </w:tc>
        <w:tc>
          <w:tcPr>
            <w:tcW w:w="550"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0 </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0 </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0 </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0 </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0 </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0 </w:t>
            </w:r>
          </w:p>
        </w:tc>
        <w:tc>
          <w:tcPr>
            <w:tcW w:w="605"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0 </w:t>
            </w:r>
          </w:p>
        </w:tc>
        <w:tc>
          <w:tcPr>
            <w:tcW w:w="606"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20"/>
                <w:szCs w:val="20"/>
              </w:rPr>
              <w:t>0 </w:t>
            </w:r>
          </w:p>
        </w:tc>
        <w:tc>
          <w:tcPr>
            <w:tcW w:w="606" w:type="dxa"/>
            <w:shd w:val="clear" w:color="auto" w:fill="FFFFFF" w:themeFill="background1"/>
            <w:noWrap/>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auto"/>
              <w:jc w:val="center"/>
              <w:textAlignment w:val="auto"/>
              <w:rPr>
                <w:rFonts w:ascii="宋体" w:hAnsi="宋体" w:cs="楷体_GB2312"/>
                <w:color w:val="000000"/>
                <w:sz w:val="33"/>
                <w:szCs w:val="33"/>
              </w:rPr>
            </w:pPr>
            <w:r>
              <w:rPr>
                <w:rFonts w:hint="eastAsia" w:ascii="宋体" w:hAnsi="宋体" w:cs="楷体_GB2312"/>
                <w:color w:val="000000"/>
                <w:kern w:val="0"/>
                <w:sz w:val="33"/>
                <w:szCs w:val="33"/>
              </w:rPr>
              <w:t>0 </w:t>
            </w:r>
          </w:p>
        </w:tc>
      </w:tr>
    </w:tbl>
    <w:p>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420" w:lineRule="auto"/>
        <w:ind w:firstLine="640" w:firstLineChars="200"/>
        <w:jc w:val="both"/>
        <w:textAlignment w:val="auto"/>
        <w:rPr>
          <w:rFonts w:ascii="黑体" w:hAnsi="黑体" w:eastAsia="黑体" w:cs="宋体"/>
          <w:color w:val="000000"/>
          <w:sz w:val="32"/>
          <w:szCs w:val="32"/>
          <w:shd w:val="clear" w:color="auto" w:fill="FFFFFF"/>
        </w:rPr>
      </w:pPr>
      <w:r>
        <w:rPr>
          <w:rFonts w:hint="eastAsia" w:ascii="黑体" w:hAnsi="黑体" w:eastAsia="黑体" w:cs="宋体"/>
          <w:color w:val="000000"/>
          <w:sz w:val="32"/>
          <w:szCs w:val="32"/>
          <w:shd w:val="clear" w:color="auto" w:fill="FFFFFF"/>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420" w:lineRule="auto"/>
        <w:ind w:firstLine="640"/>
        <w:textAlignment w:val="auto"/>
        <w:rPr>
          <w:rFonts w:ascii="楷体" w:hAnsi="楷体" w:eastAsia="楷体" w:cs="楷体"/>
          <w:color w:val="333333"/>
          <w:kern w:val="0"/>
          <w:sz w:val="32"/>
          <w:szCs w:val="32"/>
          <w:shd w:val="clear" w:color="auto" w:fill="FFFFFF"/>
        </w:rPr>
      </w:pPr>
      <w:r>
        <w:rPr>
          <w:rFonts w:hint="eastAsia" w:ascii="楷体" w:hAnsi="楷体" w:eastAsia="楷体" w:cs="楷体"/>
          <w:color w:val="333333"/>
          <w:kern w:val="0"/>
          <w:sz w:val="32"/>
          <w:szCs w:val="32"/>
          <w:shd w:val="clear" w:color="auto" w:fill="FFFFFF"/>
        </w:rPr>
        <w:t>（一）主要问题</w:t>
      </w:r>
    </w:p>
    <w:p>
      <w:pPr>
        <w:keepNext w:val="0"/>
        <w:keepLines w:val="0"/>
        <w:pageBreakBefore w:val="0"/>
        <w:widowControl/>
        <w:shd w:val="clear" w:color="auto" w:fill="FFFFFF"/>
        <w:kinsoku/>
        <w:wordWrap/>
        <w:overflowPunct/>
        <w:topLinePunct w:val="0"/>
        <w:autoSpaceDE/>
        <w:autoSpaceDN/>
        <w:bidi w:val="0"/>
        <w:adjustRightInd/>
        <w:snapToGrid/>
        <w:spacing w:line="420" w:lineRule="auto"/>
        <w:ind w:firstLine="64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rPr>
        <w:t>202</w:t>
      </w:r>
      <w:r>
        <w:rPr>
          <w:rFonts w:hint="eastAsia" w:ascii="仿宋_GB2312" w:hAnsi="仿宋_GB2312" w:eastAsia="仿宋_GB2312" w:cs="仿宋_GB2312"/>
          <w:b w:val="0"/>
          <w:bCs w:val="0"/>
          <w:color w:val="000000"/>
          <w:sz w:val="32"/>
          <w:szCs w:val="32"/>
          <w:shd w:val="clear" w:color="auto" w:fill="FFFFFF"/>
          <w:lang w:val="en-US" w:eastAsia="zh-CN"/>
        </w:rPr>
        <w:t>2</w:t>
      </w:r>
      <w:r>
        <w:rPr>
          <w:rFonts w:hint="eastAsia" w:ascii="仿宋_GB2312" w:hAnsi="仿宋_GB2312" w:eastAsia="仿宋_GB2312" w:cs="仿宋_GB2312"/>
          <w:b w:val="0"/>
          <w:bCs w:val="0"/>
          <w:color w:val="000000"/>
          <w:sz w:val="32"/>
          <w:szCs w:val="32"/>
          <w:shd w:val="clear" w:color="auto" w:fill="FFFFFF"/>
        </w:rPr>
        <w:t>年，松江区退役军人事务局政府信息公开工作取得了一定成效，但在信息公开工作仍然存在一些问题。</w:t>
      </w:r>
      <w:r>
        <w:rPr>
          <w:rFonts w:hint="eastAsia" w:ascii="仿宋_GB2312" w:hAnsi="仿宋_GB2312" w:eastAsia="仿宋_GB2312" w:cs="仿宋_GB2312"/>
          <w:b/>
          <w:bCs/>
          <w:color w:val="333333"/>
          <w:kern w:val="0"/>
          <w:sz w:val="32"/>
          <w:szCs w:val="32"/>
          <w:shd w:val="clear" w:color="auto" w:fill="FFFFFF"/>
        </w:rPr>
        <w:t>一是</w:t>
      </w:r>
      <w:r>
        <w:rPr>
          <w:rFonts w:hint="eastAsia" w:ascii="仿宋_GB2312" w:hAnsi="仿宋_GB2312" w:eastAsia="仿宋_GB2312" w:cs="仿宋_GB2312"/>
          <w:b/>
          <w:bCs/>
          <w:color w:val="000000"/>
          <w:sz w:val="32"/>
          <w:szCs w:val="32"/>
          <w:shd w:val="clear" w:color="auto" w:fill="FFFFFF"/>
          <w:lang w:eastAsia="zh-CN"/>
        </w:rPr>
        <w:t>依申请公开质量不够高</w:t>
      </w:r>
      <w:r>
        <w:rPr>
          <w:rFonts w:hint="eastAsia"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b w:val="0"/>
          <w:bCs w:val="0"/>
          <w:color w:val="000000"/>
          <w:sz w:val="32"/>
          <w:szCs w:val="32"/>
          <w:shd w:val="clear" w:color="auto" w:fill="FFFFFF"/>
          <w:lang w:eastAsia="zh-CN"/>
        </w:rPr>
        <w:t>经办人员对政务公开认识不够，未能及时将线下依申请公开件及时录入系统，办理流程不够规范，答复内容未能严格按照规定格式拟定；</w:t>
      </w:r>
      <w:r>
        <w:rPr>
          <w:rFonts w:hint="eastAsia" w:ascii="仿宋_GB2312" w:hAnsi="仿宋_GB2312" w:eastAsia="仿宋_GB2312" w:cs="仿宋_GB2312"/>
          <w:b/>
          <w:bCs/>
          <w:color w:val="333333"/>
          <w:kern w:val="0"/>
          <w:sz w:val="32"/>
          <w:szCs w:val="32"/>
          <w:shd w:val="clear" w:color="auto" w:fill="FFFFFF"/>
        </w:rPr>
        <w:t>二是</w:t>
      </w:r>
      <w:r>
        <w:rPr>
          <w:rFonts w:hint="eastAsia" w:ascii="仿宋_GB2312" w:hAnsi="仿宋_GB2312" w:eastAsia="仿宋_GB2312" w:cs="仿宋_GB2312"/>
          <w:b/>
          <w:bCs/>
          <w:color w:val="333333"/>
          <w:kern w:val="0"/>
          <w:sz w:val="32"/>
          <w:szCs w:val="32"/>
          <w:shd w:val="clear" w:color="auto" w:fill="FFFFFF"/>
          <w:lang w:eastAsia="zh-CN"/>
        </w:rPr>
        <w:t>政策解读质量比较低。</w:t>
      </w:r>
      <w:r>
        <w:rPr>
          <w:rFonts w:hint="eastAsia" w:ascii="仿宋_GB2312" w:hAnsi="仿宋_GB2312" w:eastAsia="仿宋_GB2312" w:cs="仿宋_GB2312"/>
          <w:b w:val="0"/>
          <w:bCs w:val="0"/>
          <w:color w:val="000000"/>
          <w:sz w:val="32"/>
          <w:szCs w:val="32"/>
          <w:shd w:val="clear" w:color="auto" w:fill="FFFFFF"/>
          <w:lang w:eastAsia="zh-CN"/>
        </w:rPr>
        <w:t>在文件起草过程中未能同步草拟解读材料，解读材料未能及时公开，解读内容与原文重合度较高的问题，解读形式较为单一；</w:t>
      </w:r>
      <w:r>
        <w:rPr>
          <w:rFonts w:hint="eastAsia" w:ascii="仿宋_GB2312" w:hAnsi="仿宋_GB2312" w:eastAsia="仿宋_GB2312" w:cs="仿宋_GB2312"/>
          <w:b w:val="0"/>
          <w:bCs w:val="0"/>
          <w:color w:val="333333"/>
          <w:sz w:val="32"/>
          <w:szCs w:val="32"/>
          <w:shd w:val="clear" w:color="auto" w:fill="FFFFFF"/>
        </w:rPr>
        <w:t>三</w:t>
      </w:r>
      <w:r>
        <w:rPr>
          <w:rFonts w:hint="eastAsia" w:ascii="仿宋_GB2312" w:hAnsi="仿宋_GB2312" w:eastAsia="仿宋_GB2312" w:cs="仿宋_GB2312"/>
          <w:b/>
          <w:bCs/>
          <w:color w:val="333333"/>
          <w:kern w:val="0"/>
          <w:sz w:val="32"/>
          <w:szCs w:val="32"/>
          <w:shd w:val="clear" w:color="auto" w:fill="FFFFFF"/>
        </w:rPr>
        <w:t>是</w:t>
      </w:r>
      <w:r>
        <w:rPr>
          <w:rFonts w:hint="eastAsia" w:ascii="仿宋_GB2312" w:hAnsi="仿宋_GB2312" w:eastAsia="仿宋_GB2312" w:cs="仿宋_GB2312"/>
          <w:b/>
          <w:bCs/>
          <w:color w:val="333333"/>
          <w:kern w:val="0"/>
          <w:sz w:val="32"/>
          <w:szCs w:val="32"/>
          <w:shd w:val="clear" w:color="auto" w:fill="FFFFFF"/>
          <w:lang w:eastAsia="zh-CN"/>
        </w:rPr>
        <w:t>政务公开经办队伍欠稳定。</w:t>
      </w:r>
      <w:r>
        <w:rPr>
          <w:rFonts w:hint="eastAsia" w:ascii="仿宋_GB2312" w:hAnsi="仿宋_GB2312" w:eastAsia="仿宋_GB2312" w:cs="仿宋_GB2312"/>
          <w:b w:val="0"/>
          <w:bCs w:val="0"/>
          <w:color w:val="333333"/>
          <w:sz w:val="32"/>
          <w:szCs w:val="32"/>
          <w:shd w:val="clear" w:color="auto" w:fill="FFFFFF"/>
          <w:lang w:eastAsia="zh-CN"/>
        </w:rPr>
        <w:t>本年度局机关和下属事业单位的政务公开经办人员有所调整，新接人经办人员业务不熟、无法立即适应新岗位，导致整改问题较多，工作任务较重。</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420" w:lineRule="auto"/>
        <w:ind w:firstLine="640"/>
        <w:textAlignment w:val="auto"/>
        <w:rPr>
          <w:rFonts w:ascii="楷体" w:hAnsi="楷体" w:eastAsia="楷体" w:cs="楷体"/>
          <w:color w:val="333333"/>
          <w:kern w:val="0"/>
          <w:sz w:val="32"/>
          <w:szCs w:val="32"/>
          <w:shd w:val="clear" w:color="auto" w:fill="FFFFFF"/>
        </w:rPr>
      </w:pPr>
      <w:r>
        <w:rPr>
          <w:rFonts w:hint="eastAsia" w:ascii="楷体" w:hAnsi="楷体" w:eastAsia="楷体" w:cs="楷体"/>
          <w:color w:val="333333"/>
          <w:kern w:val="0"/>
          <w:sz w:val="32"/>
          <w:szCs w:val="32"/>
          <w:shd w:val="clear" w:color="auto" w:fill="FFFFFF"/>
        </w:rPr>
        <w:t>改进措施</w:t>
      </w:r>
    </w:p>
    <w:p>
      <w:pPr>
        <w:keepNext w:val="0"/>
        <w:keepLines w:val="0"/>
        <w:pageBreakBefore w:val="0"/>
        <w:widowControl/>
        <w:shd w:val="clear" w:color="auto" w:fill="FFFFFF"/>
        <w:kinsoku/>
        <w:wordWrap/>
        <w:overflowPunct/>
        <w:topLinePunct w:val="0"/>
        <w:autoSpaceDE/>
        <w:autoSpaceDN/>
        <w:bidi w:val="0"/>
        <w:adjustRightInd/>
        <w:snapToGrid/>
        <w:spacing w:line="420" w:lineRule="auto"/>
        <w:ind w:firstLine="643" w:firstLineChars="200"/>
        <w:textAlignment w:val="auto"/>
        <w:rPr>
          <w:rFonts w:hint="eastAsia" w:ascii="仿宋" w:hAnsi="仿宋" w:eastAsia="仿宋" w:cs="仿宋"/>
          <w:color w:val="000000"/>
          <w:sz w:val="32"/>
          <w:szCs w:val="32"/>
          <w:shd w:val="clear" w:color="auto" w:fill="FFFFFF"/>
          <w:lang w:eastAsia="zh-CN"/>
        </w:rPr>
      </w:pPr>
      <w:r>
        <w:rPr>
          <w:rFonts w:hint="eastAsia" w:ascii="仿宋" w:hAnsi="仿宋" w:eastAsia="仿宋" w:cs="仿宋"/>
          <w:b/>
          <w:bCs/>
          <w:color w:val="333333"/>
          <w:kern w:val="0"/>
          <w:sz w:val="32"/>
          <w:szCs w:val="32"/>
          <w:shd w:val="clear" w:color="auto" w:fill="FFFFFF"/>
        </w:rPr>
        <w:t>1.</w:t>
      </w:r>
      <w:r>
        <w:rPr>
          <w:rFonts w:hint="eastAsia" w:ascii="仿宋" w:hAnsi="仿宋" w:eastAsia="仿宋" w:cs="仿宋"/>
          <w:b/>
          <w:bCs/>
          <w:color w:val="333333"/>
          <w:sz w:val="32"/>
          <w:szCs w:val="32"/>
          <w:shd w:val="clear" w:color="auto" w:fill="FFFFFF"/>
          <w:lang w:eastAsia="zh-CN"/>
        </w:rPr>
        <w:t>高标准做好依申请公开答复工作</w:t>
      </w:r>
      <w:r>
        <w:rPr>
          <w:rFonts w:hint="eastAsia" w:ascii="仿宋" w:hAnsi="仿宋" w:eastAsia="仿宋" w:cs="仿宋"/>
          <w:b/>
          <w:bCs/>
          <w:color w:val="333333"/>
          <w:sz w:val="32"/>
          <w:szCs w:val="32"/>
          <w:shd w:val="clear" w:color="auto" w:fill="FFFFFF"/>
        </w:rPr>
        <w:t>。</w:t>
      </w:r>
      <w:r>
        <w:rPr>
          <w:rFonts w:hint="eastAsia" w:ascii="仿宋" w:hAnsi="仿宋" w:eastAsia="仿宋" w:cs="仿宋"/>
          <w:color w:val="000000"/>
          <w:sz w:val="32"/>
          <w:szCs w:val="32"/>
          <w:shd w:val="clear" w:color="auto" w:fill="FFFFFF"/>
          <w:lang w:eastAsia="zh-CN"/>
        </w:rPr>
        <w:t>认真按照依申请公开件规范办理流程，及时受理录件，做到线上依申请公开和线下依申请公开均在规定时间内完成，严格按照相关文件里的答复模板格式拟定答复书，并在规定时间内完成答复。</w:t>
      </w:r>
    </w:p>
    <w:p>
      <w:pPr>
        <w:keepNext w:val="0"/>
        <w:keepLines w:val="0"/>
        <w:pageBreakBefore w:val="0"/>
        <w:widowControl/>
        <w:shd w:val="clear" w:color="auto" w:fill="FFFFFF"/>
        <w:kinsoku/>
        <w:wordWrap/>
        <w:overflowPunct/>
        <w:topLinePunct w:val="0"/>
        <w:autoSpaceDE/>
        <w:autoSpaceDN/>
        <w:bidi w:val="0"/>
        <w:adjustRightInd/>
        <w:snapToGrid/>
        <w:spacing w:line="420" w:lineRule="auto"/>
        <w:ind w:firstLine="643" w:firstLineChars="200"/>
        <w:textAlignment w:val="auto"/>
        <w:rPr>
          <w:rFonts w:hint="eastAsia" w:ascii="仿宋" w:hAnsi="仿宋" w:eastAsia="仿宋" w:cs="仿宋"/>
          <w:color w:val="000000"/>
          <w:sz w:val="32"/>
          <w:szCs w:val="32"/>
          <w:shd w:val="clear" w:color="auto" w:fill="FFFFFF"/>
          <w:lang w:eastAsia="zh-CN"/>
        </w:rPr>
      </w:pPr>
      <w:r>
        <w:rPr>
          <w:rFonts w:hint="eastAsia" w:ascii="仿宋" w:hAnsi="仿宋" w:eastAsia="仿宋" w:cs="仿宋"/>
          <w:b/>
          <w:bCs/>
          <w:color w:val="000000"/>
          <w:sz w:val="32"/>
          <w:szCs w:val="32"/>
          <w:shd w:val="clear" w:color="auto" w:fill="FFFFFF"/>
        </w:rPr>
        <w:t>2.</w:t>
      </w:r>
      <w:r>
        <w:rPr>
          <w:rFonts w:hint="eastAsia" w:ascii="仿宋" w:hAnsi="仿宋" w:eastAsia="仿宋" w:cs="仿宋"/>
          <w:b/>
          <w:bCs/>
          <w:color w:val="000000"/>
          <w:sz w:val="32"/>
          <w:szCs w:val="32"/>
          <w:shd w:val="clear" w:color="auto" w:fill="FFFFFF"/>
          <w:lang w:eastAsia="zh-CN"/>
        </w:rPr>
        <w:t>多措并举提升政策解读质量</w:t>
      </w:r>
      <w:r>
        <w:rPr>
          <w:rFonts w:hint="eastAsia" w:ascii="仿宋" w:hAnsi="仿宋" w:eastAsia="仿宋" w:cs="仿宋"/>
          <w:b/>
          <w:bCs/>
          <w:color w:val="000000"/>
          <w:sz w:val="32"/>
          <w:szCs w:val="32"/>
          <w:shd w:val="clear" w:color="auto" w:fill="FFFFFF"/>
        </w:rPr>
        <w:t>。</w:t>
      </w:r>
      <w:r>
        <w:rPr>
          <w:rFonts w:hint="eastAsia" w:ascii="仿宋" w:hAnsi="仿宋" w:eastAsia="仿宋" w:cs="仿宋"/>
          <w:color w:val="000000"/>
          <w:sz w:val="32"/>
          <w:szCs w:val="32"/>
          <w:shd w:val="clear" w:color="auto" w:fill="FFFFFF"/>
        </w:rPr>
        <w:t>办好微信公众号，借助多种现代信息传播渠道和形式，清晰、完整、细致地反映退役军人工作开展情况</w:t>
      </w:r>
      <w:r>
        <w:rPr>
          <w:rFonts w:hint="eastAsia" w:ascii="仿宋" w:hAnsi="仿宋" w:eastAsia="仿宋" w:cs="仿宋"/>
          <w:color w:val="000000"/>
          <w:sz w:val="32"/>
          <w:szCs w:val="32"/>
          <w:shd w:val="clear" w:color="auto" w:fill="FFFFFF"/>
          <w:lang w:eastAsia="zh-CN"/>
        </w:rPr>
        <w:t>；丰富政策解读形式，积极采用图片、图表和视频等解读形式进行解读。</w:t>
      </w:r>
    </w:p>
    <w:p>
      <w:pPr>
        <w:keepNext w:val="0"/>
        <w:keepLines w:val="0"/>
        <w:pageBreakBefore w:val="0"/>
        <w:widowControl/>
        <w:shd w:val="clear" w:color="auto" w:fill="FFFFFF"/>
        <w:kinsoku/>
        <w:wordWrap/>
        <w:overflowPunct/>
        <w:topLinePunct w:val="0"/>
        <w:autoSpaceDE/>
        <w:autoSpaceDN/>
        <w:bidi w:val="0"/>
        <w:adjustRightInd/>
        <w:snapToGrid/>
        <w:spacing w:line="420" w:lineRule="auto"/>
        <w:ind w:firstLine="643" w:firstLineChars="200"/>
        <w:textAlignment w:val="auto"/>
        <w:rPr>
          <w:rFonts w:hint="eastAsia" w:ascii="仿宋" w:hAnsi="仿宋" w:eastAsia="仿宋" w:cs="仿宋"/>
          <w:color w:val="000000"/>
          <w:sz w:val="32"/>
          <w:szCs w:val="32"/>
          <w:shd w:val="clear" w:color="auto" w:fill="FFFFFF"/>
          <w:lang w:eastAsia="zh-CN"/>
        </w:rPr>
      </w:pPr>
      <w:r>
        <w:rPr>
          <w:rFonts w:hint="eastAsia" w:ascii="仿宋" w:hAnsi="仿宋" w:eastAsia="仿宋" w:cs="仿宋"/>
          <w:b/>
          <w:bCs/>
          <w:color w:val="000000"/>
          <w:sz w:val="32"/>
          <w:szCs w:val="32"/>
          <w:shd w:val="clear" w:color="auto" w:fill="FFFFFF"/>
        </w:rPr>
        <w:t>3.</w:t>
      </w:r>
      <w:r>
        <w:rPr>
          <w:rFonts w:hint="eastAsia" w:ascii="仿宋" w:hAnsi="仿宋" w:eastAsia="仿宋" w:cs="仿宋"/>
          <w:b/>
          <w:bCs/>
          <w:color w:val="000000"/>
          <w:sz w:val="32"/>
          <w:szCs w:val="32"/>
          <w:shd w:val="clear" w:color="auto" w:fill="FFFFFF"/>
          <w:lang w:eastAsia="zh-CN"/>
        </w:rPr>
        <w:t>强化经办人员业务知道和培训</w:t>
      </w:r>
      <w:r>
        <w:rPr>
          <w:rFonts w:hint="eastAsia" w:ascii="仿宋" w:hAnsi="仿宋" w:eastAsia="仿宋" w:cs="仿宋"/>
          <w:b/>
          <w:bCs/>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结合日常工作，有针对性地组织开展多形式的政务公开业务培训活动，同时常态化开展学习，加强与区府办政务公开科的沟通联系，切实增强经办人员业务能力，推进工作落实。</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640" w:firstLineChars="200"/>
        <w:jc w:val="both"/>
        <w:textAlignment w:val="auto"/>
        <w:rPr>
          <w:rFonts w:ascii="黑体" w:hAnsi="黑体" w:eastAsia="黑体" w:cs="宋体"/>
          <w:color w:val="000000"/>
          <w:sz w:val="32"/>
          <w:szCs w:val="32"/>
          <w:shd w:val="clear" w:color="auto" w:fill="FFFFFF"/>
        </w:rPr>
      </w:pPr>
      <w:r>
        <w:rPr>
          <w:rFonts w:hint="eastAsia" w:ascii="黑体" w:hAnsi="黑体" w:eastAsia="黑体" w:cs="宋体"/>
          <w:color w:val="000000"/>
          <w:sz w:val="32"/>
          <w:szCs w:val="32"/>
          <w:shd w:val="clear" w:color="auto" w:fill="FFFFFF"/>
        </w:rPr>
        <w:t>六、其他需要报告的事项</w:t>
      </w:r>
    </w:p>
    <w:bookmarkEnd w:id="0"/>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auto"/>
        <w:ind w:firstLine="640" w:firstLineChars="200"/>
        <w:jc w:val="both"/>
        <w:textAlignment w:val="auto"/>
        <w:rPr>
          <w:rFonts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松江区退役军人事务局严格按照国务院办公厅《政府信息公开信息处理费管理办法》及本市有关规定收取信息处理费，本年度未发生需要收取费用的情况。</w:t>
      </w:r>
    </w:p>
    <w:bookmarkEnd w:id="1"/>
    <w:p/>
    <w:p/>
    <w:p>
      <w:pPr>
        <w:widowControl/>
        <w:spacing w:line="500" w:lineRule="exact"/>
        <w:ind w:firstLine="560" w:firstLineChars="200"/>
        <w:jc w:val="right"/>
        <w:rPr>
          <w:rFonts w:hint="eastAsia" w:ascii="仿宋_GB2312" w:eastAsia="仿宋_GB2312" w:cs="宋体" w:hAnsiTheme="minorEastAsia"/>
          <w:color w:val="000000" w:themeColor="text1"/>
          <w:kern w:val="0"/>
          <w:sz w:val="28"/>
          <w:szCs w:val="28"/>
          <w:highlight w:val="none"/>
          <w:lang w:eastAsia="zh-CN"/>
          <w14:textFill>
            <w14:solidFill>
              <w14:schemeClr w14:val="tx1"/>
            </w14:solidFill>
          </w14:textFill>
        </w:rPr>
      </w:pPr>
      <w:r>
        <w:rPr>
          <w:rFonts w:hint="eastAsia" w:ascii="仿宋_GB2312" w:eastAsia="仿宋_GB2312" w:cs="宋体" w:hAnsiTheme="minorEastAsia"/>
          <w:color w:val="000000" w:themeColor="text1"/>
          <w:kern w:val="0"/>
          <w:sz w:val="28"/>
          <w:szCs w:val="28"/>
          <w:highlight w:val="none"/>
          <w14:textFill>
            <w14:solidFill>
              <w14:schemeClr w14:val="tx1"/>
            </w14:solidFill>
          </w14:textFill>
        </w:rPr>
        <w:t>上海市松江区</w:t>
      </w:r>
      <w:r>
        <w:rPr>
          <w:rFonts w:hint="eastAsia" w:ascii="仿宋_GB2312" w:eastAsia="仿宋_GB2312" w:cs="宋体" w:hAnsiTheme="minorEastAsia"/>
          <w:color w:val="000000" w:themeColor="text1"/>
          <w:kern w:val="0"/>
          <w:sz w:val="28"/>
          <w:szCs w:val="28"/>
          <w:highlight w:val="none"/>
          <w:lang w:eastAsia="zh-CN"/>
          <w14:textFill>
            <w14:solidFill>
              <w14:schemeClr w14:val="tx1"/>
            </w14:solidFill>
          </w14:textFill>
        </w:rPr>
        <w:t>退役军人事务局</w:t>
      </w:r>
    </w:p>
    <w:p>
      <w:pPr>
        <w:widowControl/>
        <w:spacing w:line="500" w:lineRule="exact"/>
        <w:ind w:firstLine="560" w:firstLineChars="200"/>
        <w:jc w:val="center"/>
        <w:rPr>
          <w:rFonts w:ascii="仿宋_GB2312" w:eastAsia="仿宋_GB2312" w:cs="宋体" w:hAnsiTheme="minorEastAsia"/>
          <w:color w:val="000000" w:themeColor="text1"/>
          <w:kern w:val="0"/>
          <w:sz w:val="28"/>
          <w:szCs w:val="28"/>
          <w:highlight w:val="none"/>
          <w14:textFill>
            <w14:solidFill>
              <w14:schemeClr w14:val="tx1"/>
            </w14:solidFill>
          </w14:textFill>
        </w:rPr>
      </w:pPr>
      <w:r>
        <w:rPr>
          <w:rFonts w:hint="eastAsia" w:ascii="仿宋_GB2312" w:eastAsia="仿宋_GB2312" w:cs="宋体" w:hAnsiTheme="minorEastAsia"/>
          <w:color w:val="000000" w:themeColor="text1"/>
          <w:kern w:val="0"/>
          <w:sz w:val="28"/>
          <w:szCs w:val="28"/>
          <w:highlight w:val="none"/>
          <w:lang w:val="en-US" w:eastAsia="zh-CN"/>
          <w14:textFill>
            <w14:solidFill>
              <w14:schemeClr w14:val="tx1"/>
            </w14:solidFill>
          </w14:textFill>
        </w:rPr>
        <w:t xml:space="preserve">                                </w:t>
      </w:r>
      <w:r>
        <w:rPr>
          <w:rFonts w:hint="eastAsia" w:ascii="仿宋_GB2312" w:eastAsia="仿宋_GB2312" w:cs="宋体" w:hAnsiTheme="minorEastAsia"/>
          <w:color w:val="000000" w:themeColor="text1"/>
          <w:kern w:val="0"/>
          <w:sz w:val="28"/>
          <w:szCs w:val="28"/>
          <w:highlight w:val="none"/>
          <w14:textFill>
            <w14:solidFill>
              <w14:schemeClr w14:val="tx1"/>
            </w14:solidFill>
          </w14:textFill>
        </w:rPr>
        <w:t>202</w:t>
      </w:r>
      <w:r>
        <w:rPr>
          <w:rFonts w:hint="eastAsia" w:ascii="仿宋_GB2312" w:eastAsia="仿宋_GB2312" w:cs="宋体" w:hAnsiTheme="minorEastAsia"/>
          <w:color w:val="000000" w:themeColor="text1"/>
          <w:kern w:val="0"/>
          <w:sz w:val="28"/>
          <w:szCs w:val="28"/>
          <w:highlight w:val="none"/>
          <w:lang w:val="en-US" w:eastAsia="zh-CN"/>
          <w14:textFill>
            <w14:solidFill>
              <w14:schemeClr w14:val="tx1"/>
            </w14:solidFill>
          </w14:textFill>
        </w:rPr>
        <w:t>3</w:t>
      </w:r>
      <w:r>
        <w:rPr>
          <w:rFonts w:hint="eastAsia" w:ascii="仿宋_GB2312" w:eastAsia="仿宋_GB2312" w:cs="宋体" w:hAnsiTheme="minorEastAsia"/>
          <w:color w:val="000000" w:themeColor="text1"/>
          <w:kern w:val="0"/>
          <w:sz w:val="28"/>
          <w:szCs w:val="28"/>
          <w:highlight w:val="none"/>
          <w14:textFill>
            <w14:solidFill>
              <w14:schemeClr w14:val="tx1"/>
            </w14:solidFill>
          </w14:textFill>
        </w:rPr>
        <w:t>年1月</w:t>
      </w:r>
      <w:r>
        <w:rPr>
          <w:rFonts w:hint="eastAsia" w:ascii="仿宋_GB2312" w:eastAsia="仿宋_GB2312" w:cs="宋体" w:hAnsiTheme="minorEastAsia"/>
          <w:color w:val="000000" w:themeColor="text1"/>
          <w:kern w:val="0"/>
          <w:sz w:val="28"/>
          <w:szCs w:val="28"/>
          <w:highlight w:val="none"/>
          <w:lang w:val="en-US" w:eastAsia="zh-CN"/>
          <w14:textFill>
            <w14:solidFill>
              <w14:schemeClr w14:val="tx1"/>
            </w14:solidFill>
          </w14:textFill>
        </w:rPr>
        <w:t>10</w:t>
      </w:r>
      <w:r>
        <w:rPr>
          <w:rFonts w:hint="eastAsia" w:ascii="仿宋_GB2312" w:eastAsia="仿宋_GB2312" w:cs="宋体" w:hAnsiTheme="minorEastAsia"/>
          <w:color w:val="000000" w:themeColor="text1"/>
          <w:kern w:val="0"/>
          <w:sz w:val="28"/>
          <w:szCs w:val="28"/>
          <w:highlight w:val="none"/>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79EFC"/>
    <w:multiLevelType w:val="singleLevel"/>
    <w:tmpl w:val="C6079EFC"/>
    <w:lvl w:ilvl="0" w:tentative="0">
      <w:start w:val="3"/>
      <w:numFmt w:val="chineseCounting"/>
      <w:suff w:val="nothing"/>
      <w:lvlText w:val="（%1）"/>
      <w:lvlJc w:val="left"/>
      <w:rPr>
        <w:rFonts w:hint="eastAsia"/>
      </w:rPr>
    </w:lvl>
  </w:abstractNum>
  <w:abstractNum w:abstractNumId="1">
    <w:nsid w:val="DEA5E4AA"/>
    <w:multiLevelType w:val="singleLevel"/>
    <w:tmpl w:val="DEA5E4AA"/>
    <w:lvl w:ilvl="0" w:tentative="0">
      <w:start w:val="5"/>
      <w:numFmt w:val="chineseCounting"/>
      <w:suff w:val="nothing"/>
      <w:lvlText w:val="%1、"/>
      <w:lvlJc w:val="left"/>
      <w:rPr>
        <w:rFonts w:hint="eastAsia"/>
      </w:rPr>
    </w:lvl>
  </w:abstractNum>
  <w:abstractNum w:abstractNumId="2">
    <w:nsid w:val="0BEA4AAC"/>
    <w:multiLevelType w:val="singleLevel"/>
    <w:tmpl w:val="0BEA4AAC"/>
    <w:lvl w:ilvl="0" w:tentative="0">
      <w:start w:val="5"/>
      <w:numFmt w:val="chineseCounting"/>
      <w:suff w:val="nothing"/>
      <w:lvlText w:val="（%1）"/>
      <w:lvlJc w:val="left"/>
      <w:rPr>
        <w:rFonts w:hint="eastAsia"/>
      </w:rPr>
    </w:lvl>
  </w:abstractNum>
  <w:abstractNum w:abstractNumId="3">
    <w:nsid w:val="38FEA487"/>
    <w:multiLevelType w:val="singleLevel"/>
    <w:tmpl w:val="38FEA487"/>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YTVjYzMwZWZjNzNkOWNjZDdjNDJmOGMxYTc0MzUifQ=="/>
  </w:docVars>
  <w:rsids>
    <w:rsidRoot w:val="00C7642D"/>
    <w:rsid w:val="002D3290"/>
    <w:rsid w:val="00426747"/>
    <w:rsid w:val="0044028F"/>
    <w:rsid w:val="0054422B"/>
    <w:rsid w:val="00630D65"/>
    <w:rsid w:val="00684B15"/>
    <w:rsid w:val="00721328"/>
    <w:rsid w:val="00737B62"/>
    <w:rsid w:val="00794FE9"/>
    <w:rsid w:val="00795134"/>
    <w:rsid w:val="0091039A"/>
    <w:rsid w:val="009B6EE7"/>
    <w:rsid w:val="00A2320B"/>
    <w:rsid w:val="00AE0E4E"/>
    <w:rsid w:val="00AE6D92"/>
    <w:rsid w:val="00B0170F"/>
    <w:rsid w:val="00B172DA"/>
    <w:rsid w:val="00BD08FF"/>
    <w:rsid w:val="00C1428F"/>
    <w:rsid w:val="00C207AF"/>
    <w:rsid w:val="00C7642D"/>
    <w:rsid w:val="00D430FF"/>
    <w:rsid w:val="00E14165"/>
    <w:rsid w:val="00E82CA3"/>
    <w:rsid w:val="00E87280"/>
    <w:rsid w:val="00ED3DA0"/>
    <w:rsid w:val="00EE3FD4"/>
    <w:rsid w:val="00F1239A"/>
    <w:rsid w:val="086167EA"/>
    <w:rsid w:val="191D718D"/>
    <w:rsid w:val="1EDD3065"/>
    <w:rsid w:val="20E134BA"/>
    <w:rsid w:val="25C255F7"/>
    <w:rsid w:val="389F58EC"/>
    <w:rsid w:val="4FE303C3"/>
    <w:rsid w:val="58D122C7"/>
    <w:rsid w:val="5A9D6766"/>
    <w:rsid w:val="5F313D41"/>
    <w:rsid w:val="6867620C"/>
    <w:rsid w:val="6FBD7302"/>
    <w:rsid w:val="7BCE44C2"/>
    <w:rsid w:val="7E6A1EA8"/>
    <w:rsid w:val="7FB2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2623</Words>
  <Characters>2758</Characters>
  <Lines>20</Lines>
  <Paragraphs>5</Paragraphs>
  <TotalTime>1261</TotalTime>
  <ScaleCrop>false</ScaleCrop>
  <LinksUpToDate>false</LinksUpToDate>
  <CharactersWithSpaces>2813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2022-01-06T00:46:00Z</dcterms:created>
  <dc:creator>chenhuajuan</dc:creator>
  <cp:lastModifiedBy>T.x</cp:lastModifiedBy>
  <cp:lastPrinted>2022-01-05T08:23:00Z</cp:lastPrinted>
  <dcterms:modified xsi:type="dcterms:W3CDTF">2023-01-09T08:40:01Z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EBA021B4B4F443DB9657A01B60731DEF</vt:lpwstr>
  </property>
</Properties>
</file>